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F82D71" w14:textId="77777777" w:rsidR="00F74E14" w:rsidRDefault="00F74E14">
      <w:pPr>
        <w:pStyle w:val="Brdtekst"/>
        <w:spacing w:before="7"/>
        <w:rPr>
          <w:sz w:val="9"/>
        </w:rPr>
      </w:pPr>
      <w:bookmarkStart w:id="0" w:name="_GoBack"/>
      <w:bookmarkEnd w:id="0"/>
    </w:p>
    <w:p w14:paraId="64F449E6" w14:textId="14A03174" w:rsidR="00F74E14" w:rsidRPr="00DF3447" w:rsidRDefault="00291ABF">
      <w:pPr>
        <w:pStyle w:val="Overskrift1"/>
        <w:spacing w:before="90"/>
        <w:ind w:left="112" w:firstLine="0"/>
        <w:rPr>
          <w:lang w:val="da-DK"/>
        </w:rPr>
      </w:pPr>
      <w:r w:rsidRPr="00DF3447">
        <w:rPr>
          <w:lang w:val="da-DK"/>
        </w:rPr>
        <w:t>2</w:t>
      </w:r>
      <w:r w:rsidR="00F0461D">
        <w:rPr>
          <w:lang w:val="da-DK"/>
        </w:rPr>
        <w:t>5</w:t>
      </w:r>
      <w:r w:rsidR="001C086A" w:rsidRPr="00DF3447">
        <w:rPr>
          <w:lang w:val="da-DK"/>
        </w:rPr>
        <w:t>.</w:t>
      </w:r>
      <w:r w:rsidR="00F0461D">
        <w:rPr>
          <w:lang w:val="da-DK"/>
        </w:rPr>
        <w:t>01</w:t>
      </w:r>
      <w:r w:rsidR="001C086A" w:rsidRPr="00DF3447">
        <w:rPr>
          <w:lang w:val="da-DK"/>
        </w:rPr>
        <w:t>.20</w:t>
      </w:r>
      <w:r w:rsidR="00105389" w:rsidRPr="00DF3447">
        <w:rPr>
          <w:lang w:val="da-DK"/>
        </w:rPr>
        <w:t>2</w:t>
      </w:r>
      <w:r w:rsidR="00F0461D">
        <w:rPr>
          <w:lang w:val="da-DK"/>
        </w:rPr>
        <w:t>1</w:t>
      </w:r>
    </w:p>
    <w:p w14:paraId="0AC3F485" w14:textId="77777777" w:rsidR="00F74E14" w:rsidRPr="00DF3447" w:rsidRDefault="00F74E14">
      <w:pPr>
        <w:pStyle w:val="Brdtekst"/>
        <w:rPr>
          <w:b/>
          <w:lang w:val="da-DK"/>
        </w:rPr>
      </w:pPr>
    </w:p>
    <w:p w14:paraId="1A883E60" w14:textId="77777777" w:rsidR="00F74E14" w:rsidRPr="00DF3447" w:rsidRDefault="001C086A">
      <w:pPr>
        <w:ind w:left="112"/>
        <w:rPr>
          <w:b/>
          <w:sz w:val="24"/>
          <w:szCs w:val="24"/>
          <w:lang w:val="da-DK"/>
        </w:rPr>
      </w:pPr>
      <w:r w:rsidRPr="00DF3447">
        <w:rPr>
          <w:b/>
          <w:sz w:val="24"/>
          <w:szCs w:val="24"/>
          <w:lang w:val="da-DK"/>
        </w:rPr>
        <w:t>Dansk Dermatologisk Selskab</w:t>
      </w:r>
    </w:p>
    <w:p w14:paraId="77CDBB38" w14:textId="3D7D2223" w:rsidR="00F74E14" w:rsidRPr="00DF3447" w:rsidRDefault="001C086A">
      <w:pPr>
        <w:pStyle w:val="Overskrift1"/>
        <w:ind w:left="112" w:firstLine="0"/>
        <w:rPr>
          <w:lang w:val="da-DK"/>
        </w:rPr>
      </w:pPr>
      <w:r w:rsidRPr="00DF3447">
        <w:rPr>
          <w:lang w:val="da-DK"/>
        </w:rPr>
        <w:t xml:space="preserve">Retningslinjer for behandling af </w:t>
      </w:r>
      <w:r w:rsidR="006C22AB" w:rsidRPr="00DF3447">
        <w:rPr>
          <w:lang w:val="da-DK"/>
        </w:rPr>
        <w:t xml:space="preserve">patienter med </w:t>
      </w:r>
      <w:r w:rsidRPr="00DF3447">
        <w:rPr>
          <w:lang w:val="da-DK"/>
        </w:rPr>
        <w:t xml:space="preserve">psoriasis </w:t>
      </w:r>
      <w:r w:rsidR="006C22AB" w:rsidRPr="00DF3447">
        <w:rPr>
          <w:lang w:val="da-DK"/>
        </w:rPr>
        <w:t>og</w:t>
      </w:r>
      <w:r w:rsidRPr="00DF3447">
        <w:rPr>
          <w:lang w:val="da-DK"/>
        </w:rPr>
        <w:t xml:space="preserve"> </w:t>
      </w:r>
      <w:r w:rsidR="00105389" w:rsidRPr="00DF3447">
        <w:rPr>
          <w:lang w:val="da-DK"/>
        </w:rPr>
        <w:t>behov for lys eller system</w:t>
      </w:r>
      <w:r w:rsidR="00BA51D1" w:rsidRPr="00DF3447">
        <w:rPr>
          <w:lang w:val="da-DK"/>
        </w:rPr>
        <w:t>i</w:t>
      </w:r>
      <w:r w:rsidR="00105389" w:rsidRPr="00DF3447">
        <w:rPr>
          <w:lang w:val="da-DK"/>
        </w:rPr>
        <w:t>sk behandling</w:t>
      </w:r>
      <w:r w:rsidRPr="00DF3447">
        <w:rPr>
          <w:lang w:val="da-DK"/>
        </w:rPr>
        <w:t>:</w:t>
      </w:r>
    </w:p>
    <w:p w14:paraId="2A944516" w14:textId="77777777" w:rsidR="00F74E14" w:rsidRPr="00DF3447" w:rsidRDefault="00F74E14">
      <w:pPr>
        <w:pStyle w:val="Brdtekst"/>
        <w:rPr>
          <w:b/>
          <w:lang w:val="da-DK"/>
        </w:rPr>
      </w:pPr>
    </w:p>
    <w:p w14:paraId="152B2CA5" w14:textId="77777777" w:rsidR="00F74E14" w:rsidRPr="00DF3447" w:rsidRDefault="001C086A">
      <w:pPr>
        <w:pStyle w:val="Listeafsnit"/>
        <w:numPr>
          <w:ilvl w:val="0"/>
          <w:numId w:val="2"/>
        </w:numPr>
        <w:tabs>
          <w:tab w:val="left" w:pos="353"/>
        </w:tabs>
        <w:ind w:hanging="241"/>
        <w:rPr>
          <w:b/>
          <w:sz w:val="24"/>
          <w:szCs w:val="24"/>
        </w:rPr>
      </w:pPr>
      <w:r w:rsidRPr="00DF3447">
        <w:rPr>
          <w:b/>
          <w:sz w:val="24"/>
          <w:szCs w:val="24"/>
          <w:lang w:val="da-DK"/>
        </w:rPr>
        <w:t>Kommissorium</w:t>
      </w:r>
    </w:p>
    <w:p w14:paraId="345C6CA4" w14:textId="4388B52F" w:rsidR="00F74E14" w:rsidRPr="00DF3447" w:rsidRDefault="001C086A">
      <w:pPr>
        <w:pStyle w:val="Brdtekst"/>
        <w:ind w:left="112" w:right="890"/>
        <w:rPr>
          <w:lang w:val="da-DK"/>
        </w:rPr>
      </w:pPr>
      <w:r w:rsidRPr="00DF3447">
        <w:rPr>
          <w:lang w:val="da-DK"/>
        </w:rPr>
        <w:t xml:space="preserve">Udarbejdelse af guidelines for </w:t>
      </w:r>
      <w:r w:rsidR="003E0CA1" w:rsidRPr="00DF3447">
        <w:rPr>
          <w:lang w:val="da-DK"/>
        </w:rPr>
        <w:t xml:space="preserve">patienter med psoriasis og behov for lys eller systemisk behandling med speciel fokus på </w:t>
      </w:r>
      <w:r w:rsidRPr="00DF3447">
        <w:rPr>
          <w:lang w:val="da-DK"/>
        </w:rPr>
        <w:t xml:space="preserve">2. generations </w:t>
      </w:r>
      <w:proofErr w:type="spellStart"/>
      <w:r w:rsidRPr="00DF3447">
        <w:rPr>
          <w:lang w:val="da-DK"/>
        </w:rPr>
        <w:t>immunomodu</w:t>
      </w:r>
      <w:r w:rsidR="006C22AB" w:rsidRPr="00DF3447">
        <w:rPr>
          <w:lang w:val="da-DK"/>
        </w:rPr>
        <w:t>l</w:t>
      </w:r>
      <w:r w:rsidR="00240896" w:rsidRPr="00DF3447">
        <w:rPr>
          <w:lang w:val="da-DK"/>
        </w:rPr>
        <w:t>erende</w:t>
      </w:r>
      <w:proofErr w:type="spellEnd"/>
      <w:r w:rsidRPr="00DF3447">
        <w:rPr>
          <w:lang w:val="da-DK"/>
        </w:rPr>
        <w:t xml:space="preserve"> behandling af patienter med psoriasis, såvel i speciallægepraksis som i hospitalsregi.</w:t>
      </w:r>
    </w:p>
    <w:p w14:paraId="58C099FB" w14:textId="6B06F92E" w:rsidR="00F74E14" w:rsidRPr="00DF3447" w:rsidRDefault="001C086A">
      <w:pPr>
        <w:pStyle w:val="Brdtekst"/>
        <w:spacing w:before="1"/>
        <w:ind w:left="112" w:right="244"/>
        <w:rPr>
          <w:lang w:val="da-DK"/>
        </w:rPr>
      </w:pPr>
      <w:r w:rsidRPr="00DF3447">
        <w:rPr>
          <w:lang w:val="da-DK"/>
        </w:rPr>
        <w:t xml:space="preserve">I </w:t>
      </w:r>
      <w:r w:rsidR="003E0CA1" w:rsidRPr="00DF3447">
        <w:rPr>
          <w:lang w:val="da-DK"/>
        </w:rPr>
        <w:t>oktober</w:t>
      </w:r>
      <w:r w:rsidRPr="00DF3447">
        <w:rPr>
          <w:lang w:val="da-DK"/>
        </w:rPr>
        <w:t xml:space="preserve"> 20</w:t>
      </w:r>
      <w:r w:rsidR="003E0CA1" w:rsidRPr="00DF3447">
        <w:rPr>
          <w:lang w:val="da-DK"/>
        </w:rPr>
        <w:t>20</w:t>
      </w:r>
      <w:r w:rsidRPr="00DF3447">
        <w:rPr>
          <w:lang w:val="da-DK"/>
        </w:rPr>
        <w:t xml:space="preserve"> har guideline gennemgået en større ændring </w:t>
      </w:r>
      <w:r w:rsidR="00C74D43" w:rsidRPr="00DF3447">
        <w:rPr>
          <w:lang w:val="da-DK"/>
        </w:rPr>
        <w:t>og inkluderer nu</w:t>
      </w:r>
      <w:r w:rsidR="00333D75" w:rsidRPr="00DF3447">
        <w:rPr>
          <w:lang w:val="da-DK"/>
        </w:rPr>
        <w:t xml:space="preserve"> </w:t>
      </w:r>
      <w:r w:rsidR="003E0CA1" w:rsidRPr="00DF3447">
        <w:rPr>
          <w:lang w:val="da-DK"/>
        </w:rPr>
        <w:t xml:space="preserve">patienter med psoriasis og behov for lys eller systemisk behandling. </w:t>
      </w:r>
    </w:p>
    <w:p w14:paraId="6FE01A2E" w14:textId="77777777" w:rsidR="00F74E14" w:rsidRPr="00DF3447" w:rsidRDefault="00F74E14">
      <w:pPr>
        <w:pStyle w:val="Brdtekst"/>
        <w:rPr>
          <w:lang w:val="da-DK"/>
        </w:rPr>
      </w:pPr>
    </w:p>
    <w:p w14:paraId="03595B6A" w14:textId="77777777" w:rsidR="00F74E14" w:rsidRPr="00DF3447" w:rsidRDefault="001C086A">
      <w:pPr>
        <w:pStyle w:val="Overskrift1"/>
        <w:numPr>
          <w:ilvl w:val="0"/>
          <w:numId w:val="2"/>
        </w:numPr>
        <w:tabs>
          <w:tab w:val="left" w:pos="353"/>
        </w:tabs>
        <w:ind w:hanging="241"/>
      </w:pPr>
      <w:proofErr w:type="spellStart"/>
      <w:r w:rsidRPr="00DF3447">
        <w:t>Arbejdsgruppe</w:t>
      </w:r>
      <w:proofErr w:type="spellEnd"/>
    </w:p>
    <w:p w14:paraId="161498FF" w14:textId="3773FAC1" w:rsidR="00F74E14" w:rsidRPr="00DF3447" w:rsidRDefault="001C086A">
      <w:pPr>
        <w:pStyle w:val="Brdtekst"/>
        <w:ind w:left="112"/>
        <w:rPr>
          <w:lang w:val="da-DK"/>
        </w:rPr>
      </w:pPr>
      <w:r w:rsidRPr="00DF3447">
        <w:rPr>
          <w:lang w:val="da-DK"/>
        </w:rPr>
        <w:t>Psoriasisudvalget under DDS</w:t>
      </w:r>
      <w:r w:rsidR="001E1BB8">
        <w:rPr>
          <w:lang w:val="da-DK"/>
        </w:rPr>
        <w:t>. Arbejdsgruppens interessekonflikter kan findes på Lægemiddelstyrelsen hjemmeside.</w:t>
      </w:r>
    </w:p>
    <w:p w14:paraId="2F3E3DEA" w14:textId="77777777" w:rsidR="00F74E14" w:rsidRPr="00894324" w:rsidRDefault="00F74E14">
      <w:pPr>
        <w:pStyle w:val="Brdtekst"/>
        <w:rPr>
          <w:lang w:val="da-DK"/>
        </w:rPr>
      </w:pPr>
    </w:p>
    <w:p w14:paraId="01D9F43B" w14:textId="56C78369" w:rsidR="003E0CA1" w:rsidRPr="00DF3447" w:rsidRDefault="001C086A">
      <w:pPr>
        <w:pStyle w:val="Overskrift1"/>
        <w:numPr>
          <w:ilvl w:val="0"/>
          <w:numId w:val="2"/>
        </w:numPr>
        <w:tabs>
          <w:tab w:val="left" w:pos="353"/>
        </w:tabs>
        <w:ind w:hanging="241"/>
        <w:rPr>
          <w:lang w:val="da-DK"/>
        </w:rPr>
      </w:pPr>
      <w:r w:rsidRPr="00DF3447">
        <w:rPr>
          <w:lang w:val="da-DK"/>
        </w:rPr>
        <w:t xml:space="preserve">Definition af </w:t>
      </w:r>
      <w:r w:rsidR="003E0CA1" w:rsidRPr="00DF3447">
        <w:rPr>
          <w:lang w:val="da-DK"/>
        </w:rPr>
        <w:t xml:space="preserve">patienter med psoriasis </w:t>
      </w:r>
      <w:r w:rsidR="006C22AB" w:rsidRPr="00DF3447">
        <w:rPr>
          <w:lang w:val="da-DK"/>
        </w:rPr>
        <w:t>og</w:t>
      </w:r>
      <w:r w:rsidR="003E0CA1" w:rsidRPr="00DF3447">
        <w:rPr>
          <w:lang w:val="da-DK"/>
        </w:rPr>
        <w:t xml:space="preserve"> behov for lys eller systemisk behandling</w:t>
      </w:r>
    </w:p>
    <w:p w14:paraId="217B3415" w14:textId="10C3470A" w:rsidR="003E0CA1" w:rsidRPr="00DF3447" w:rsidRDefault="00850805" w:rsidP="003E0CA1">
      <w:pPr>
        <w:pStyle w:val="Overskrift1"/>
        <w:tabs>
          <w:tab w:val="left" w:pos="353"/>
        </w:tabs>
        <w:ind w:left="352" w:firstLine="0"/>
        <w:rPr>
          <w:b w:val="0"/>
          <w:bCs w:val="0"/>
          <w:lang w:val="da-DK"/>
        </w:rPr>
      </w:pPr>
      <w:r w:rsidRPr="00DF3447">
        <w:rPr>
          <w:b w:val="0"/>
          <w:bCs w:val="0"/>
          <w:lang w:val="da-DK"/>
        </w:rPr>
        <w:t>Patienter med psoriasis bør klassificeres som kandidater til systemisk terapi</w:t>
      </w:r>
      <w:r w:rsidR="00240896" w:rsidRPr="00DF3447">
        <w:rPr>
          <w:b w:val="0"/>
          <w:bCs w:val="0"/>
          <w:lang w:val="da-DK"/>
        </w:rPr>
        <w:t>,</w:t>
      </w:r>
      <w:r w:rsidRPr="00DF3447">
        <w:rPr>
          <w:b w:val="0"/>
          <w:bCs w:val="0"/>
          <w:lang w:val="da-DK"/>
        </w:rPr>
        <w:t xml:space="preserve"> hvis de opfylder mindst et af følgende kriterier: (1) legemsoverfladeareal</w:t>
      </w:r>
      <w:r w:rsidR="00C74D43" w:rsidRPr="00DF3447">
        <w:rPr>
          <w:b w:val="0"/>
          <w:bCs w:val="0"/>
          <w:lang w:val="da-DK"/>
        </w:rPr>
        <w:t xml:space="preserve"> (BSA) /PASI </w:t>
      </w:r>
      <w:r w:rsidRPr="00DF3447">
        <w:rPr>
          <w:b w:val="0"/>
          <w:bCs w:val="0"/>
          <w:lang w:val="da-DK"/>
        </w:rPr>
        <w:t>&gt; 10%, (2) sygdom, der involverer specielle områder (eks. negle, genitalier, hænder), og (3) svigt af lokal behandling.</w:t>
      </w:r>
    </w:p>
    <w:p w14:paraId="0E89C966" w14:textId="3F094230" w:rsidR="00850805" w:rsidRPr="00DF3447" w:rsidRDefault="00850805" w:rsidP="003E0CA1">
      <w:pPr>
        <w:pStyle w:val="Overskrift1"/>
        <w:tabs>
          <w:tab w:val="left" w:pos="353"/>
        </w:tabs>
        <w:ind w:left="352" w:firstLine="0"/>
        <w:rPr>
          <w:b w:val="0"/>
          <w:bCs w:val="0"/>
          <w:lang w:val="da-DK"/>
        </w:rPr>
      </w:pPr>
      <w:r w:rsidRPr="00DF3447">
        <w:rPr>
          <w:b w:val="0"/>
          <w:bCs w:val="0"/>
          <w:lang w:val="da-DK"/>
        </w:rPr>
        <w:t>Til disse patienter vælges i første omgang lysbehandling eller de klassiske systemiske behandlinger</w:t>
      </w:r>
      <w:r w:rsidR="00C74D43" w:rsidRPr="00DF3447">
        <w:rPr>
          <w:b w:val="0"/>
          <w:bCs w:val="0"/>
          <w:lang w:val="da-DK"/>
        </w:rPr>
        <w:t xml:space="preserve"> i samarbejde med patienten ud fra vægtning af type af psoriasis, tidligere behandling og effekt heraf, patient arbejds- og private forhold og andre sygdomme </w:t>
      </w:r>
      <w:r w:rsidR="00240896" w:rsidRPr="00DF3447">
        <w:rPr>
          <w:b w:val="0"/>
          <w:bCs w:val="0"/>
          <w:lang w:val="da-DK"/>
        </w:rPr>
        <w:t>herunder</w:t>
      </w:r>
      <w:r w:rsidR="00C74D43" w:rsidRPr="00DF3447">
        <w:rPr>
          <w:b w:val="0"/>
          <w:bCs w:val="0"/>
          <w:lang w:val="da-DK"/>
        </w:rPr>
        <w:t xml:space="preserve"> </w:t>
      </w:r>
      <w:r w:rsidR="00240896" w:rsidRPr="00DF3447">
        <w:rPr>
          <w:b w:val="0"/>
          <w:bCs w:val="0"/>
          <w:lang w:val="da-DK"/>
        </w:rPr>
        <w:t>psoriasis</w:t>
      </w:r>
      <w:r w:rsidR="00C74D43" w:rsidRPr="00DF3447">
        <w:rPr>
          <w:b w:val="0"/>
          <w:bCs w:val="0"/>
          <w:lang w:val="da-DK"/>
        </w:rPr>
        <w:t>gigt</w:t>
      </w:r>
      <w:r w:rsidRPr="00DF3447">
        <w:rPr>
          <w:b w:val="0"/>
          <w:bCs w:val="0"/>
          <w:lang w:val="da-DK"/>
        </w:rPr>
        <w:t xml:space="preserve">. </w:t>
      </w:r>
    </w:p>
    <w:p w14:paraId="57000846" w14:textId="77777777" w:rsidR="00850805" w:rsidRPr="00DF3447" w:rsidRDefault="00850805" w:rsidP="003E0CA1">
      <w:pPr>
        <w:pStyle w:val="Overskrift1"/>
        <w:tabs>
          <w:tab w:val="left" w:pos="353"/>
        </w:tabs>
        <w:ind w:left="352" w:firstLine="0"/>
        <w:rPr>
          <w:b w:val="0"/>
          <w:bCs w:val="0"/>
          <w:lang w:val="da-DK"/>
        </w:rPr>
      </w:pPr>
    </w:p>
    <w:p w14:paraId="374A4471" w14:textId="77777777" w:rsidR="00850805" w:rsidRPr="00DF3447" w:rsidRDefault="00850805" w:rsidP="003E0CA1">
      <w:pPr>
        <w:pStyle w:val="Overskrift1"/>
        <w:tabs>
          <w:tab w:val="left" w:pos="353"/>
        </w:tabs>
        <w:ind w:left="352" w:firstLine="0"/>
        <w:rPr>
          <w:b w:val="0"/>
          <w:bCs w:val="0"/>
          <w:lang w:val="da-DK"/>
        </w:rPr>
      </w:pPr>
      <w:r w:rsidRPr="00DF3447">
        <w:rPr>
          <w:b w:val="0"/>
          <w:bCs w:val="0"/>
          <w:lang w:val="da-DK"/>
        </w:rPr>
        <w:t>Følgende generelle anbefalinger stammer fra de Nationale Kliniske Retningslinjer for psoriasis:</w:t>
      </w:r>
    </w:p>
    <w:p w14:paraId="373062D1" w14:textId="77777777" w:rsidR="00850805" w:rsidRPr="00DF3447" w:rsidRDefault="00850805" w:rsidP="003E0CA1">
      <w:pPr>
        <w:pStyle w:val="Overskrift1"/>
        <w:tabs>
          <w:tab w:val="left" w:pos="353"/>
        </w:tabs>
        <w:ind w:left="352" w:firstLine="0"/>
        <w:rPr>
          <w:b w:val="0"/>
          <w:bCs w:val="0"/>
          <w:lang w:val="da-DK"/>
        </w:rPr>
      </w:pPr>
    </w:p>
    <w:p w14:paraId="317EFDF1" w14:textId="7E19F9CA" w:rsidR="00850805" w:rsidRPr="00DF3447" w:rsidRDefault="00850805" w:rsidP="006C3079">
      <w:pPr>
        <w:pStyle w:val="Overskrift1"/>
        <w:numPr>
          <w:ilvl w:val="0"/>
          <w:numId w:val="4"/>
        </w:numPr>
        <w:tabs>
          <w:tab w:val="left" w:pos="353"/>
        </w:tabs>
        <w:rPr>
          <w:b w:val="0"/>
          <w:bCs w:val="0"/>
          <w:lang w:val="da-DK"/>
        </w:rPr>
      </w:pPr>
      <w:r w:rsidRPr="00DF3447">
        <w:rPr>
          <w:b w:val="0"/>
          <w:bCs w:val="0"/>
          <w:lang w:val="da-DK"/>
        </w:rPr>
        <w:t>Overvej at tilbyde enten methotrexat eller smalspektret UVB til patienter med psoriasis</w:t>
      </w:r>
      <w:r w:rsidR="000B1745" w:rsidRPr="00DF3447">
        <w:rPr>
          <w:b w:val="0"/>
          <w:bCs w:val="0"/>
          <w:lang w:val="da-DK"/>
        </w:rPr>
        <w:t xml:space="preserve"> </w:t>
      </w:r>
      <w:proofErr w:type="spellStart"/>
      <w:r w:rsidRPr="00DF3447">
        <w:rPr>
          <w:b w:val="0"/>
          <w:bCs w:val="0"/>
          <w:lang w:val="da-DK"/>
        </w:rPr>
        <w:t>vulgaris</w:t>
      </w:r>
      <w:proofErr w:type="spellEnd"/>
      <w:r w:rsidRPr="00DF3447">
        <w:rPr>
          <w:b w:val="0"/>
          <w:bCs w:val="0"/>
          <w:lang w:val="da-DK"/>
        </w:rPr>
        <w:t xml:space="preserve">, ved svigt af sufficient </w:t>
      </w:r>
      <w:r w:rsidR="00853D14" w:rsidRPr="00DF3447">
        <w:rPr>
          <w:b w:val="0"/>
          <w:bCs w:val="0"/>
          <w:lang w:val="da-DK"/>
        </w:rPr>
        <w:t>lokal</w:t>
      </w:r>
      <w:r w:rsidRPr="00DF3447">
        <w:rPr>
          <w:b w:val="0"/>
          <w:bCs w:val="0"/>
          <w:lang w:val="da-DK"/>
        </w:rPr>
        <w:t xml:space="preserve"> behandling.</w:t>
      </w:r>
    </w:p>
    <w:p w14:paraId="6FE0C57D" w14:textId="77777777" w:rsidR="00850805" w:rsidRPr="00DF3447" w:rsidRDefault="00850805" w:rsidP="006C3079">
      <w:pPr>
        <w:pStyle w:val="Overskrift1"/>
        <w:numPr>
          <w:ilvl w:val="0"/>
          <w:numId w:val="4"/>
        </w:numPr>
        <w:tabs>
          <w:tab w:val="left" w:pos="353"/>
        </w:tabs>
        <w:rPr>
          <w:b w:val="0"/>
          <w:bCs w:val="0"/>
          <w:lang w:val="da-DK"/>
        </w:rPr>
      </w:pPr>
      <w:r w:rsidRPr="00DF3447">
        <w:rPr>
          <w:b w:val="0"/>
          <w:bCs w:val="0"/>
          <w:lang w:val="da-DK"/>
        </w:rPr>
        <w:t xml:space="preserve">Overvej at anvende </w:t>
      </w:r>
      <w:proofErr w:type="spellStart"/>
      <w:r w:rsidRPr="00DF3447">
        <w:rPr>
          <w:b w:val="0"/>
          <w:bCs w:val="0"/>
          <w:lang w:val="da-DK"/>
        </w:rPr>
        <w:t>methotrexat</w:t>
      </w:r>
      <w:proofErr w:type="spellEnd"/>
      <w:r w:rsidRPr="00DF3447">
        <w:rPr>
          <w:b w:val="0"/>
          <w:bCs w:val="0"/>
          <w:lang w:val="da-DK"/>
        </w:rPr>
        <w:t xml:space="preserve"> frem for </w:t>
      </w:r>
      <w:proofErr w:type="spellStart"/>
      <w:r w:rsidRPr="00DF3447">
        <w:rPr>
          <w:b w:val="0"/>
          <w:bCs w:val="0"/>
          <w:lang w:val="da-DK"/>
        </w:rPr>
        <w:t>acitretin</w:t>
      </w:r>
      <w:proofErr w:type="spellEnd"/>
      <w:r w:rsidRPr="00DF3447">
        <w:rPr>
          <w:b w:val="0"/>
          <w:bCs w:val="0"/>
          <w:lang w:val="da-DK"/>
        </w:rPr>
        <w:t xml:space="preserve"> som førstevalg til patienter med psoriasis </w:t>
      </w:r>
      <w:proofErr w:type="spellStart"/>
      <w:r w:rsidRPr="00DF3447">
        <w:rPr>
          <w:b w:val="0"/>
          <w:bCs w:val="0"/>
          <w:lang w:val="da-DK"/>
        </w:rPr>
        <w:t>vulgaris</w:t>
      </w:r>
      <w:proofErr w:type="spellEnd"/>
      <w:r w:rsidRPr="00DF3447">
        <w:rPr>
          <w:b w:val="0"/>
          <w:bCs w:val="0"/>
          <w:lang w:val="da-DK"/>
        </w:rPr>
        <w:t xml:space="preserve">, når der er indikation for systemisk behandling. </w:t>
      </w:r>
    </w:p>
    <w:p w14:paraId="1D053C6E" w14:textId="77777777" w:rsidR="003E0CA1" w:rsidRPr="00DF3447" w:rsidRDefault="003E0CA1" w:rsidP="003E0CA1">
      <w:pPr>
        <w:pStyle w:val="Overskrift1"/>
        <w:tabs>
          <w:tab w:val="left" w:pos="353"/>
        </w:tabs>
        <w:ind w:left="352" w:firstLine="0"/>
        <w:rPr>
          <w:b w:val="0"/>
          <w:bCs w:val="0"/>
          <w:lang w:val="da-DK"/>
        </w:rPr>
      </w:pPr>
    </w:p>
    <w:p w14:paraId="6CEC10B7" w14:textId="77777777" w:rsidR="00850805" w:rsidRPr="00DF3447" w:rsidRDefault="00850805" w:rsidP="00850805">
      <w:pPr>
        <w:pStyle w:val="Overskrift1"/>
        <w:tabs>
          <w:tab w:val="left" w:pos="353"/>
        </w:tabs>
        <w:ind w:left="352"/>
        <w:rPr>
          <w:lang w:val="nb-NO"/>
        </w:rPr>
      </w:pPr>
      <w:r w:rsidRPr="00DF3447">
        <w:rPr>
          <w:b w:val="0"/>
          <w:bCs w:val="0"/>
          <w:lang w:val="da-DK"/>
        </w:rPr>
        <w:tab/>
      </w:r>
      <w:r w:rsidRPr="00DF3447">
        <w:rPr>
          <w:lang w:val="nb-NO"/>
        </w:rPr>
        <w:t>Klimaterapi:</w:t>
      </w:r>
    </w:p>
    <w:p w14:paraId="374A24A2" w14:textId="77777777" w:rsidR="00850805" w:rsidRPr="00DF3447" w:rsidRDefault="00850805" w:rsidP="00850805">
      <w:pPr>
        <w:pStyle w:val="Overskrift1"/>
        <w:tabs>
          <w:tab w:val="left" w:pos="353"/>
        </w:tabs>
        <w:ind w:left="352"/>
        <w:rPr>
          <w:b w:val="0"/>
          <w:bCs w:val="0"/>
          <w:lang w:val="da-DK"/>
        </w:rPr>
      </w:pPr>
      <w:r w:rsidRPr="00DF3447">
        <w:rPr>
          <w:b w:val="0"/>
          <w:bCs w:val="0"/>
          <w:lang w:val="nb-NO"/>
        </w:rPr>
        <w:tab/>
        <w:t xml:space="preserve">Klimaterapi må anses for værende en niche-behandling. </w:t>
      </w:r>
      <w:r w:rsidRPr="00DF3447">
        <w:rPr>
          <w:b w:val="0"/>
          <w:bCs w:val="0"/>
          <w:lang w:val="da-DK"/>
        </w:rPr>
        <w:t xml:space="preserve">Der kan derfor ikke opstilles specifikke krav til PASI og DLQI, som skal være opfyldt, for at henvisning kan finde sted. I overensstemmelse med de Nationale Kliniske Retningslinjer bør patienterne dog behandles med enten smalspektret UVB eller methotrexat frem for klimaterapi. Målet med behandlingerne bør som udgangspunkt være stabil sygdoms kontrol, hvilket sjældent opnås med klimaterapi. Klimaterapi bør derfor kun tilbydes patienter efter individuel vurdering, som på grund af </w:t>
      </w:r>
      <w:proofErr w:type="gramStart"/>
      <w:r w:rsidRPr="00DF3447">
        <w:rPr>
          <w:b w:val="0"/>
          <w:bCs w:val="0"/>
          <w:lang w:val="da-DK"/>
        </w:rPr>
        <w:t>eksempelvis</w:t>
      </w:r>
      <w:proofErr w:type="gramEnd"/>
      <w:r w:rsidRPr="00DF3447">
        <w:rPr>
          <w:b w:val="0"/>
          <w:bCs w:val="0"/>
          <w:lang w:val="da-DK"/>
        </w:rPr>
        <w:t xml:space="preserve"> cancer sygdom ikke kan modtage behandling med gængse immunmodulerende lægemidler.  </w:t>
      </w:r>
    </w:p>
    <w:p w14:paraId="326C20E9" w14:textId="5DC92D18" w:rsidR="00850805" w:rsidRPr="00DF3447" w:rsidRDefault="00850805" w:rsidP="00850805">
      <w:pPr>
        <w:pStyle w:val="Overskrift1"/>
        <w:tabs>
          <w:tab w:val="left" w:pos="353"/>
        </w:tabs>
        <w:ind w:left="352" w:firstLine="0"/>
        <w:rPr>
          <w:b w:val="0"/>
          <w:bCs w:val="0"/>
          <w:lang w:val="da-DK"/>
        </w:rPr>
      </w:pPr>
      <w:r w:rsidRPr="00DF3447">
        <w:rPr>
          <w:b w:val="0"/>
          <w:bCs w:val="0"/>
          <w:lang w:val="da-DK"/>
        </w:rPr>
        <w:t xml:space="preserve">I overensstemmelse med de Nationale Kliniske Retningslinjer kan behandling med saltvandsbade og supplerende lysbehandling, ikke anbefales frem for smalspektret UVB alene, da den </w:t>
      </w:r>
      <w:proofErr w:type="spellStart"/>
      <w:r w:rsidRPr="00DF3447">
        <w:rPr>
          <w:b w:val="0"/>
          <w:bCs w:val="0"/>
          <w:lang w:val="da-DK"/>
        </w:rPr>
        <w:t>additiv</w:t>
      </w:r>
      <w:r w:rsidR="00D37AD8" w:rsidRPr="00DF3447">
        <w:rPr>
          <w:b w:val="0"/>
          <w:bCs w:val="0"/>
          <w:lang w:val="da-DK"/>
        </w:rPr>
        <w:t>e</w:t>
      </w:r>
      <w:proofErr w:type="spellEnd"/>
      <w:r w:rsidRPr="00DF3447">
        <w:rPr>
          <w:b w:val="0"/>
          <w:bCs w:val="0"/>
          <w:lang w:val="da-DK"/>
        </w:rPr>
        <w:t xml:space="preserve"> effekt af saltvandsbadene ikke er dokumenteret.  </w:t>
      </w:r>
    </w:p>
    <w:p w14:paraId="79375E1D" w14:textId="77777777" w:rsidR="003E0CA1" w:rsidRPr="00DF3447" w:rsidRDefault="003E0CA1" w:rsidP="003E0CA1">
      <w:pPr>
        <w:pStyle w:val="Overskrift1"/>
        <w:tabs>
          <w:tab w:val="left" w:pos="353"/>
        </w:tabs>
        <w:ind w:left="352" w:firstLine="0"/>
        <w:rPr>
          <w:b w:val="0"/>
          <w:bCs w:val="0"/>
          <w:lang w:val="da-DK"/>
        </w:rPr>
      </w:pPr>
    </w:p>
    <w:p w14:paraId="5C2265B6" w14:textId="4590A5E8" w:rsidR="00850805" w:rsidRPr="00DF3447" w:rsidRDefault="00850805" w:rsidP="00850805">
      <w:pPr>
        <w:pStyle w:val="Overskrift1"/>
        <w:tabs>
          <w:tab w:val="left" w:pos="353"/>
        </w:tabs>
        <w:ind w:left="352" w:firstLine="0"/>
        <w:rPr>
          <w:lang w:val="da-DK"/>
        </w:rPr>
      </w:pPr>
    </w:p>
    <w:p w14:paraId="2EA4D59A" w14:textId="4AAF990C" w:rsidR="00850805" w:rsidRPr="00DF3447" w:rsidRDefault="00291ABF" w:rsidP="006C3079">
      <w:pPr>
        <w:pStyle w:val="Overskrift1"/>
        <w:tabs>
          <w:tab w:val="left" w:pos="353"/>
        </w:tabs>
        <w:rPr>
          <w:lang w:val="da-DK"/>
        </w:rPr>
      </w:pPr>
      <w:r w:rsidRPr="00DF3447">
        <w:rPr>
          <w:lang w:val="da-DK"/>
        </w:rPr>
        <w:t>Anden</w:t>
      </w:r>
      <w:r w:rsidR="00BA51D1" w:rsidRPr="00DF3447">
        <w:rPr>
          <w:lang w:val="da-DK"/>
        </w:rPr>
        <w:t xml:space="preserve"> generations </w:t>
      </w:r>
      <w:proofErr w:type="spellStart"/>
      <w:r w:rsidR="00BA51D1" w:rsidRPr="00DF3447">
        <w:rPr>
          <w:lang w:val="da-DK"/>
        </w:rPr>
        <w:t>immunomodul</w:t>
      </w:r>
      <w:r w:rsidR="0089136E" w:rsidRPr="00DF3447">
        <w:rPr>
          <w:lang w:val="da-DK"/>
        </w:rPr>
        <w:t>erende</w:t>
      </w:r>
      <w:proofErr w:type="spellEnd"/>
      <w:r w:rsidR="00BA51D1" w:rsidRPr="00DF3447">
        <w:rPr>
          <w:lang w:val="da-DK"/>
        </w:rPr>
        <w:t xml:space="preserve"> behandling af patienter med psoriasis</w:t>
      </w:r>
    </w:p>
    <w:p w14:paraId="04A350A9" w14:textId="1E24A3F9" w:rsidR="00F74E14" w:rsidRPr="00DF3447" w:rsidRDefault="001C086A">
      <w:pPr>
        <w:pStyle w:val="Brdtekst"/>
        <w:ind w:left="112" w:right="789"/>
        <w:rPr>
          <w:lang w:val="da-DK"/>
        </w:rPr>
      </w:pPr>
      <w:r w:rsidRPr="00DF3447">
        <w:rPr>
          <w:lang w:val="da-DK"/>
        </w:rPr>
        <w:t xml:space="preserve">Anden generations </w:t>
      </w:r>
      <w:proofErr w:type="spellStart"/>
      <w:r w:rsidRPr="00DF3447">
        <w:rPr>
          <w:lang w:val="da-DK"/>
        </w:rPr>
        <w:t>immunomodulatorisk</w:t>
      </w:r>
      <w:r w:rsidR="00240896" w:rsidRPr="00DF3447">
        <w:rPr>
          <w:lang w:val="da-DK"/>
        </w:rPr>
        <w:t>e</w:t>
      </w:r>
      <w:proofErr w:type="spellEnd"/>
      <w:r w:rsidRPr="00DF3447">
        <w:rPr>
          <w:lang w:val="da-DK"/>
        </w:rPr>
        <w:t xml:space="preserve"> lægemidler anvendes til behandling af </w:t>
      </w:r>
      <w:r w:rsidRPr="00DF3447">
        <w:rPr>
          <w:lang w:val="da-DK"/>
        </w:rPr>
        <w:lastRenderedPageBreak/>
        <w:t>moderat til svær psoriasis</w:t>
      </w:r>
      <w:r w:rsidR="00BA51D1" w:rsidRPr="00DF3447">
        <w:rPr>
          <w:lang w:val="da-DK"/>
        </w:rPr>
        <w:t xml:space="preserve"> efter nedennævnte kriterier</w:t>
      </w:r>
      <w:r w:rsidRPr="00DF3447">
        <w:rPr>
          <w:lang w:val="da-DK"/>
        </w:rPr>
        <w:t>. Det er derfor nødvendigt at kunne foretage en objektiv vurdering af sygdommens sværhedsgrad ved behandlingsstart og ved evaluering af behandlingseffekten.</w:t>
      </w:r>
    </w:p>
    <w:p w14:paraId="085A2376" w14:textId="593981EF" w:rsidR="00F74E14" w:rsidRPr="00DF3447" w:rsidRDefault="001C086A">
      <w:pPr>
        <w:pStyle w:val="Brdtekst"/>
        <w:ind w:left="112" w:right="123"/>
        <w:rPr>
          <w:lang w:val="da-DK"/>
        </w:rPr>
      </w:pPr>
      <w:r w:rsidRPr="00DF3447">
        <w:rPr>
          <w:lang w:val="da-DK"/>
        </w:rPr>
        <w:t xml:space="preserve">I klinisk praksis anvendes der </w:t>
      </w:r>
      <w:r w:rsidR="000B1745" w:rsidRPr="00DF3447">
        <w:rPr>
          <w:lang w:val="da-DK"/>
        </w:rPr>
        <w:t xml:space="preserve">ikke </w:t>
      </w:r>
      <w:r w:rsidRPr="00DF3447">
        <w:rPr>
          <w:lang w:val="da-DK"/>
        </w:rPr>
        <w:t xml:space="preserve">rutinemæssigt noget målesystem til vurdering af sygdommens sværhedsgrad. Men til kliniske studier er der udviklet en række scoringssystemer, hvoraf de vigtigste er lægens vurdering af det afficerede overfladeareal (body </w:t>
      </w:r>
      <w:proofErr w:type="spellStart"/>
      <w:r w:rsidRPr="00DF3447">
        <w:rPr>
          <w:lang w:val="da-DK"/>
        </w:rPr>
        <w:t>surface</w:t>
      </w:r>
      <w:proofErr w:type="spellEnd"/>
      <w:r w:rsidRPr="00DF3447">
        <w:rPr>
          <w:lang w:val="da-DK"/>
        </w:rPr>
        <w:t xml:space="preserve"> </w:t>
      </w:r>
      <w:proofErr w:type="spellStart"/>
      <w:r w:rsidRPr="00DF3447">
        <w:rPr>
          <w:lang w:val="da-DK"/>
        </w:rPr>
        <w:t>area</w:t>
      </w:r>
      <w:proofErr w:type="spellEnd"/>
      <w:r w:rsidRPr="00DF3447">
        <w:rPr>
          <w:lang w:val="da-DK"/>
        </w:rPr>
        <w:t xml:space="preserve">, BSA) og psoriasis </w:t>
      </w:r>
      <w:proofErr w:type="spellStart"/>
      <w:r w:rsidRPr="00DF3447">
        <w:rPr>
          <w:lang w:val="da-DK"/>
        </w:rPr>
        <w:t>area</w:t>
      </w:r>
      <w:proofErr w:type="spellEnd"/>
      <w:r w:rsidRPr="00DF3447">
        <w:rPr>
          <w:lang w:val="da-DK"/>
        </w:rPr>
        <w:t xml:space="preserve"> and </w:t>
      </w:r>
      <w:proofErr w:type="spellStart"/>
      <w:r w:rsidRPr="00DF3447">
        <w:rPr>
          <w:lang w:val="da-DK"/>
        </w:rPr>
        <w:t>severity</w:t>
      </w:r>
      <w:proofErr w:type="spellEnd"/>
      <w:r w:rsidRPr="00DF3447">
        <w:rPr>
          <w:lang w:val="da-DK"/>
        </w:rPr>
        <w:t xml:space="preserve"> </w:t>
      </w:r>
      <w:proofErr w:type="spellStart"/>
      <w:r w:rsidRPr="00DF3447">
        <w:rPr>
          <w:lang w:val="da-DK"/>
        </w:rPr>
        <w:t>index</w:t>
      </w:r>
      <w:proofErr w:type="spellEnd"/>
      <w:r w:rsidRPr="00DF3447">
        <w:rPr>
          <w:lang w:val="da-DK"/>
        </w:rPr>
        <w:t xml:space="preserve"> (PASI), samt patientens vurdering af livskvaliteten, sædvanligvis </w:t>
      </w:r>
      <w:proofErr w:type="spellStart"/>
      <w:r w:rsidRPr="00DF3447">
        <w:rPr>
          <w:lang w:val="da-DK"/>
        </w:rPr>
        <w:t>dermatology</w:t>
      </w:r>
      <w:proofErr w:type="spellEnd"/>
      <w:r w:rsidRPr="00DF3447">
        <w:rPr>
          <w:lang w:val="da-DK"/>
        </w:rPr>
        <w:t xml:space="preserve"> </w:t>
      </w:r>
      <w:proofErr w:type="spellStart"/>
      <w:r w:rsidRPr="00DF3447">
        <w:rPr>
          <w:lang w:val="da-DK"/>
        </w:rPr>
        <w:t>life</w:t>
      </w:r>
      <w:proofErr w:type="spellEnd"/>
      <w:r w:rsidRPr="00DF3447">
        <w:rPr>
          <w:lang w:val="da-DK"/>
        </w:rPr>
        <w:t xml:space="preserve"> </w:t>
      </w:r>
      <w:proofErr w:type="spellStart"/>
      <w:r w:rsidRPr="00DF3447">
        <w:rPr>
          <w:lang w:val="da-DK"/>
        </w:rPr>
        <w:t>quality</w:t>
      </w:r>
      <w:proofErr w:type="spellEnd"/>
      <w:r w:rsidRPr="00DF3447">
        <w:rPr>
          <w:lang w:val="da-DK"/>
        </w:rPr>
        <w:t xml:space="preserve"> </w:t>
      </w:r>
      <w:proofErr w:type="spellStart"/>
      <w:r w:rsidRPr="00DF3447">
        <w:rPr>
          <w:lang w:val="da-DK"/>
        </w:rPr>
        <w:t>index</w:t>
      </w:r>
      <w:proofErr w:type="spellEnd"/>
      <w:r w:rsidRPr="00DF3447">
        <w:rPr>
          <w:lang w:val="da-DK"/>
        </w:rPr>
        <w:t xml:space="preserve"> (DLQI). (Se </w:t>
      </w:r>
      <w:proofErr w:type="spellStart"/>
      <w:r w:rsidRPr="00DF3447">
        <w:rPr>
          <w:lang w:val="da-DK"/>
        </w:rPr>
        <w:t>appendix</w:t>
      </w:r>
      <w:proofErr w:type="spellEnd"/>
      <w:r w:rsidRPr="00DF3447">
        <w:rPr>
          <w:spacing w:val="-1"/>
          <w:lang w:val="da-DK"/>
        </w:rPr>
        <w:t xml:space="preserve"> </w:t>
      </w:r>
      <w:r w:rsidRPr="00DF3447">
        <w:rPr>
          <w:lang w:val="da-DK"/>
        </w:rPr>
        <w:t>12.1).</w:t>
      </w:r>
    </w:p>
    <w:p w14:paraId="050F24F6" w14:textId="77777777" w:rsidR="00F74E14" w:rsidRPr="00DF3447" w:rsidRDefault="00F74E14">
      <w:pPr>
        <w:pStyle w:val="Brdtekst"/>
        <w:spacing w:before="10"/>
        <w:rPr>
          <w:lang w:val="da-DK"/>
        </w:rPr>
      </w:pPr>
    </w:p>
    <w:p w14:paraId="3109A299" w14:textId="77777777" w:rsidR="00F74E14" w:rsidRPr="00DF3447" w:rsidRDefault="001C086A">
      <w:pPr>
        <w:pStyle w:val="Brdtekst"/>
        <w:ind w:left="112" w:right="331"/>
        <w:rPr>
          <w:lang w:val="da-DK"/>
        </w:rPr>
      </w:pPr>
      <w:r w:rsidRPr="00DF3447">
        <w:rPr>
          <w:lang w:val="da-DK"/>
        </w:rPr>
        <w:t xml:space="preserve">PASI er et valideret mål for sværhedsgraden af kronisk </w:t>
      </w:r>
      <w:proofErr w:type="spellStart"/>
      <w:r w:rsidRPr="00DF3447">
        <w:rPr>
          <w:lang w:val="da-DK"/>
        </w:rPr>
        <w:t>plaque</w:t>
      </w:r>
      <w:proofErr w:type="spellEnd"/>
      <w:r w:rsidRPr="00DF3447">
        <w:rPr>
          <w:lang w:val="da-DK"/>
        </w:rPr>
        <w:t xml:space="preserve"> psoriasis og kombinerer areal og læsionernes sværhedsgrad, vurderet separat for hoved, overekstremiteter, krop og underekstremiteter. En PASI på &gt; 10 har vist sig at korrelere med en række indikatorer for svær sygdom, f.eks. behov for hospitalsbehandling eller systemisk</w:t>
      </w:r>
      <w:r w:rsidRPr="00DF3447">
        <w:rPr>
          <w:spacing w:val="-3"/>
          <w:lang w:val="da-DK"/>
        </w:rPr>
        <w:t xml:space="preserve"> </w:t>
      </w:r>
      <w:r w:rsidRPr="00DF3447">
        <w:rPr>
          <w:lang w:val="da-DK"/>
        </w:rPr>
        <w:t>terapi.</w:t>
      </w:r>
    </w:p>
    <w:p w14:paraId="59AF8805" w14:textId="77777777" w:rsidR="00F74E14" w:rsidRPr="00DF3447" w:rsidRDefault="00F74E14">
      <w:pPr>
        <w:pStyle w:val="Brdtekst"/>
        <w:rPr>
          <w:lang w:val="da-DK"/>
        </w:rPr>
      </w:pPr>
    </w:p>
    <w:p w14:paraId="3E0209C0" w14:textId="77777777" w:rsidR="00F74E14" w:rsidRPr="00DF3447" w:rsidRDefault="001C086A">
      <w:pPr>
        <w:pStyle w:val="Brdtekst"/>
        <w:ind w:left="112"/>
        <w:rPr>
          <w:lang w:val="da-DK"/>
        </w:rPr>
      </w:pPr>
      <w:r w:rsidRPr="00DF3447">
        <w:rPr>
          <w:lang w:val="da-DK"/>
        </w:rPr>
        <w:t>Mht. overfladeareal (BSA) anses det at dreje sig om svær sygdom, hvis mere end 10 % af overfladearealet er afficeret.</w:t>
      </w:r>
    </w:p>
    <w:p w14:paraId="6F3CCDBC" w14:textId="77777777" w:rsidR="00F74E14" w:rsidRPr="00DF3447" w:rsidRDefault="00F74E14">
      <w:pPr>
        <w:pStyle w:val="Brdtekst"/>
        <w:rPr>
          <w:lang w:val="da-DK"/>
        </w:rPr>
      </w:pPr>
    </w:p>
    <w:p w14:paraId="0AAD8DFA" w14:textId="77777777" w:rsidR="00F74E14" w:rsidRPr="00DF3447" w:rsidRDefault="001C086A">
      <w:pPr>
        <w:pStyle w:val="Brdtekst"/>
        <w:ind w:left="112" w:right="202"/>
        <w:rPr>
          <w:lang w:val="da-DK"/>
        </w:rPr>
      </w:pPr>
      <w:r w:rsidRPr="00DF3447">
        <w:rPr>
          <w:lang w:val="da-DK"/>
        </w:rPr>
        <w:t xml:space="preserve">DLQI er et valideret redskab til at måle livskvaliteten, </w:t>
      </w:r>
      <w:proofErr w:type="gramStart"/>
      <w:r w:rsidRPr="00DF3447">
        <w:rPr>
          <w:lang w:val="da-DK"/>
        </w:rPr>
        <w:t>således at</w:t>
      </w:r>
      <w:proofErr w:type="gramEnd"/>
      <w:r w:rsidRPr="00DF3447">
        <w:rPr>
          <w:lang w:val="da-DK"/>
        </w:rPr>
        <w:t xml:space="preserve"> en værdi &gt;10 korrelerer med sygdom, der i høj grad påvirker personens livskvalitet.</w:t>
      </w:r>
    </w:p>
    <w:p w14:paraId="3F2C59DB" w14:textId="77777777" w:rsidR="00F74E14" w:rsidRPr="00DF3447" w:rsidRDefault="00F74E14">
      <w:pPr>
        <w:pStyle w:val="Brdtekst"/>
        <w:spacing w:before="1"/>
        <w:rPr>
          <w:lang w:val="da-DK"/>
        </w:rPr>
      </w:pPr>
    </w:p>
    <w:p w14:paraId="237FFC94" w14:textId="77777777" w:rsidR="00F74E14" w:rsidRPr="00DF3447" w:rsidRDefault="001C086A">
      <w:pPr>
        <w:pStyle w:val="Brdtekst"/>
        <w:ind w:left="112"/>
        <w:rPr>
          <w:lang w:val="da-DK"/>
        </w:rPr>
      </w:pPr>
      <w:r w:rsidRPr="00DF3447">
        <w:rPr>
          <w:lang w:val="da-DK"/>
        </w:rPr>
        <w:t xml:space="preserve">Uden at der således findes et definitivt mål for sygdommens sværhedsgrad, anses sygdommen som moderat til svær, hvis PASI er over 10, BSA er over 10 </w:t>
      </w:r>
      <w:r w:rsidRPr="00DF3447">
        <w:rPr>
          <w:i/>
          <w:lang w:val="da-DK"/>
        </w:rPr>
        <w:t xml:space="preserve">eller </w:t>
      </w:r>
      <w:r w:rsidRPr="00DF3447">
        <w:rPr>
          <w:lang w:val="da-DK"/>
        </w:rPr>
        <w:t xml:space="preserve">DLQI er over 10 </w:t>
      </w:r>
      <w:r w:rsidRPr="00DF3447">
        <w:rPr>
          <w:i/>
          <w:lang w:val="da-DK"/>
        </w:rPr>
        <w:t xml:space="preserve">(10reglen). </w:t>
      </w:r>
      <w:r w:rsidRPr="00DF3447">
        <w:rPr>
          <w:lang w:val="da-DK"/>
        </w:rPr>
        <w:t xml:space="preserve">Ved at inkludere livskvaliteten i vurderingen af sygdommens sværhedsgrad er der taget højde for, at patienter med begrænset, men generende affektion af f.eks. hænder og negle, kan opfylde kriterierne for svær sygdom. Som anført er PASI kun anvendelig til vurdering af psoriasis </w:t>
      </w:r>
      <w:proofErr w:type="spellStart"/>
      <w:r w:rsidRPr="00DF3447">
        <w:rPr>
          <w:lang w:val="da-DK"/>
        </w:rPr>
        <w:t>vulgaris</w:t>
      </w:r>
      <w:proofErr w:type="spellEnd"/>
      <w:r w:rsidRPr="00DF3447">
        <w:rPr>
          <w:lang w:val="da-DK"/>
        </w:rPr>
        <w:t xml:space="preserve">, men BSA og DLQI kan også anvendes til vurdering af sværhedsgraden af </w:t>
      </w:r>
      <w:proofErr w:type="spellStart"/>
      <w:r w:rsidRPr="00DF3447">
        <w:rPr>
          <w:lang w:val="da-DK"/>
        </w:rPr>
        <w:t>pustuløs</w:t>
      </w:r>
      <w:proofErr w:type="spellEnd"/>
      <w:r w:rsidRPr="00DF3447">
        <w:rPr>
          <w:lang w:val="da-DK"/>
        </w:rPr>
        <w:t xml:space="preserve"> psoriasis.</w:t>
      </w:r>
    </w:p>
    <w:p w14:paraId="00098154" w14:textId="77777777" w:rsidR="00F74E14" w:rsidRPr="00DF3447" w:rsidRDefault="00F74E14">
      <w:pPr>
        <w:pStyle w:val="Brdtekst"/>
        <w:rPr>
          <w:lang w:val="da-DK"/>
        </w:rPr>
      </w:pPr>
    </w:p>
    <w:p w14:paraId="07B3128A" w14:textId="77777777" w:rsidR="00F74E14" w:rsidRPr="00DF3447" w:rsidRDefault="001C086A">
      <w:pPr>
        <w:pStyle w:val="Brdtekst"/>
        <w:ind w:left="112" w:right="1002"/>
        <w:rPr>
          <w:lang w:val="da-DK"/>
        </w:rPr>
      </w:pPr>
      <w:r w:rsidRPr="00DF3447">
        <w:rPr>
          <w:lang w:val="da-DK"/>
        </w:rPr>
        <w:t>Da de ovennævnte 3 kriterier BSA, PASI og DLQI kun giver et statisk billede af sygdommens sværhedsgrad, bør sygdomsaktiviteten og effekten af tidligere behandling indgå i den samlede</w:t>
      </w:r>
    </w:p>
    <w:p w14:paraId="7C27C7B0" w14:textId="77777777" w:rsidR="00F74E14" w:rsidRPr="00DF3447" w:rsidRDefault="001C086A">
      <w:pPr>
        <w:pStyle w:val="Brdtekst"/>
        <w:spacing w:before="90"/>
        <w:ind w:left="112" w:right="124"/>
        <w:rPr>
          <w:lang w:val="da-DK"/>
        </w:rPr>
      </w:pPr>
      <w:r w:rsidRPr="00DF3447">
        <w:rPr>
          <w:lang w:val="da-DK"/>
        </w:rPr>
        <w:t>vurdering af sygdommens sværhedsgrad. Med sygdomsaktivitet menes, hvor hurtigt sygdommen recidiverer efter gennemført behandling. Hvis der således er recidiv indenfor 3 måneder efter velgennemført behandling, er dette en indikator for svær sygdom. Endelig vil effekten af tidligere behandling ofte være bestemmende for valg af ny behandling. Der indgår således et samlet klinisk skøn i vurderingen af sygdommens sværhedsgrad.</w:t>
      </w:r>
    </w:p>
    <w:p w14:paraId="1D24B4CF" w14:textId="77777777" w:rsidR="00F74E14" w:rsidRPr="00DF3447" w:rsidRDefault="00F74E14">
      <w:pPr>
        <w:pStyle w:val="Brdtekst"/>
        <w:rPr>
          <w:lang w:val="da-DK"/>
        </w:rPr>
      </w:pPr>
    </w:p>
    <w:p w14:paraId="24392512" w14:textId="77777777" w:rsidR="00F74E14" w:rsidRPr="00DF3447" w:rsidRDefault="001C086A">
      <w:pPr>
        <w:pStyle w:val="Overskrift1"/>
        <w:numPr>
          <w:ilvl w:val="0"/>
          <w:numId w:val="2"/>
        </w:numPr>
        <w:tabs>
          <w:tab w:val="left" w:pos="353"/>
        </w:tabs>
        <w:spacing w:line="276" w:lineRule="exact"/>
        <w:ind w:hanging="241"/>
        <w:rPr>
          <w:lang w:val="da-DK"/>
        </w:rPr>
      </w:pPr>
      <w:r w:rsidRPr="00DF3447">
        <w:rPr>
          <w:lang w:val="da-DK"/>
        </w:rPr>
        <w:t xml:space="preserve">Indikation for 2. generation </w:t>
      </w:r>
      <w:proofErr w:type="spellStart"/>
      <w:r w:rsidRPr="00DF3447">
        <w:rPr>
          <w:lang w:val="da-DK"/>
        </w:rPr>
        <w:t>immunomodulatorisk</w:t>
      </w:r>
      <w:proofErr w:type="spellEnd"/>
      <w:r w:rsidRPr="00DF3447">
        <w:rPr>
          <w:lang w:val="da-DK"/>
        </w:rPr>
        <w:t xml:space="preserve"> behandling ved kronisk</w:t>
      </w:r>
      <w:r w:rsidRPr="00DF3447">
        <w:rPr>
          <w:spacing w:val="-4"/>
          <w:lang w:val="da-DK"/>
        </w:rPr>
        <w:t xml:space="preserve"> </w:t>
      </w:r>
      <w:r w:rsidRPr="00DF3447">
        <w:rPr>
          <w:lang w:val="da-DK"/>
        </w:rPr>
        <w:t>psoriasis</w:t>
      </w:r>
    </w:p>
    <w:p w14:paraId="3F4FDC09" w14:textId="77777777" w:rsidR="00F74E14" w:rsidRPr="00DF3447" w:rsidRDefault="001C086A">
      <w:pPr>
        <w:pStyle w:val="Listeafsnit"/>
        <w:numPr>
          <w:ilvl w:val="1"/>
          <w:numId w:val="2"/>
        </w:numPr>
        <w:tabs>
          <w:tab w:val="left" w:pos="833"/>
          <w:tab w:val="left" w:pos="834"/>
        </w:tabs>
        <w:ind w:right="168"/>
        <w:rPr>
          <w:i/>
          <w:sz w:val="24"/>
          <w:szCs w:val="24"/>
          <w:lang w:val="da-DK"/>
        </w:rPr>
      </w:pPr>
      <w:r w:rsidRPr="00DF3447">
        <w:rPr>
          <w:sz w:val="24"/>
          <w:szCs w:val="24"/>
          <w:lang w:val="da-DK"/>
        </w:rPr>
        <w:t>At der er tale om patienter med moderat til svær, kronisk psoriasis, defineret ved 10reglen,</w:t>
      </w:r>
      <w:r w:rsidRPr="00DF3447">
        <w:rPr>
          <w:spacing w:val="-13"/>
          <w:sz w:val="24"/>
          <w:szCs w:val="24"/>
          <w:lang w:val="da-DK"/>
        </w:rPr>
        <w:t xml:space="preserve"> </w:t>
      </w:r>
      <w:r w:rsidRPr="00DF3447">
        <w:rPr>
          <w:sz w:val="24"/>
          <w:szCs w:val="24"/>
          <w:lang w:val="da-DK"/>
        </w:rPr>
        <w:t>hvor patienten ikke responderer på, har kontraindikationer overfor eller er intolerant (uacceptable bivirkninger) overfor methotrexat</w:t>
      </w:r>
      <w:r w:rsidRPr="00DF3447">
        <w:rPr>
          <w:spacing w:val="-1"/>
          <w:sz w:val="24"/>
          <w:szCs w:val="24"/>
          <w:lang w:val="da-DK"/>
        </w:rPr>
        <w:t xml:space="preserve"> </w:t>
      </w:r>
      <w:r w:rsidRPr="00DF3447">
        <w:rPr>
          <w:i/>
          <w:sz w:val="24"/>
          <w:szCs w:val="24"/>
          <w:lang w:val="da-DK"/>
        </w:rPr>
        <w:t>og</w:t>
      </w:r>
    </w:p>
    <w:p w14:paraId="59AC09B0" w14:textId="3969AB90" w:rsidR="00BA51D1" w:rsidRPr="00DF3447" w:rsidRDefault="00240896" w:rsidP="006C3079">
      <w:pPr>
        <w:pStyle w:val="Listeafsnit"/>
        <w:numPr>
          <w:ilvl w:val="1"/>
          <w:numId w:val="2"/>
        </w:numPr>
        <w:tabs>
          <w:tab w:val="left" w:pos="833"/>
          <w:tab w:val="left" w:pos="834"/>
        </w:tabs>
        <w:ind w:right="258"/>
        <w:rPr>
          <w:sz w:val="24"/>
          <w:szCs w:val="24"/>
          <w:lang w:val="da-DK"/>
        </w:rPr>
      </w:pPr>
      <w:r w:rsidRPr="00DF3447">
        <w:rPr>
          <w:sz w:val="24"/>
          <w:szCs w:val="24"/>
          <w:lang w:val="da-DK"/>
        </w:rPr>
        <w:t>H</w:t>
      </w:r>
      <w:r w:rsidR="001C086A" w:rsidRPr="00DF3447">
        <w:rPr>
          <w:sz w:val="24"/>
          <w:szCs w:val="24"/>
          <w:lang w:val="da-DK"/>
        </w:rPr>
        <w:t>vis der er kontraindikationer for methotrexat, bør man før biologisk behandling påbegyndes, overvej om patienten kan være kandidat til UVB</w:t>
      </w:r>
      <w:r w:rsidR="00203214">
        <w:rPr>
          <w:sz w:val="24"/>
          <w:szCs w:val="24"/>
          <w:lang w:val="da-DK"/>
        </w:rPr>
        <w:t>-</w:t>
      </w:r>
      <w:r w:rsidR="001C086A" w:rsidRPr="00DF3447">
        <w:rPr>
          <w:sz w:val="24"/>
          <w:szCs w:val="24"/>
          <w:lang w:val="da-DK"/>
        </w:rPr>
        <w:t xml:space="preserve">behandling eller </w:t>
      </w:r>
      <w:proofErr w:type="spellStart"/>
      <w:r w:rsidR="001C086A" w:rsidRPr="00DF3447">
        <w:rPr>
          <w:sz w:val="24"/>
          <w:szCs w:val="24"/>
          <w:lang w:val="da-DK"/>
        </w:rPr>
        <w:t>acitretin</w:t>
      </w:r>
      <w:proofErr w:type="spellEnd"/>
      <w:r w:rsidR="001C086A" w:rsidRPr="00DF3447">
        <w:rPr>
          <w:sz w:val="24"/>
          <w:szCs w:val="24"/>
          <w:lang w:val="da-DK"/>
        </w:rPr>
        <w:t xml:space="preserve"> behandling.</w:t>
      </w:r>
      <w:bookmarkStart w:id="1" w:name="_Hlk55152845"/>
      <w:r w:rsidR="0089136E" w:rsidRPr="00DF3447" w:rsidDel="0089136E">
        <w:rPr>
          <w:rStyle w:val="Kommentarhenvisning"/>
          <w:sz w:val="24"/>
          <w:szCs w:val="24"/>
          <w:lang w:val="da-DK"/>
        </w:rPr>
        <w:t xml:space="preserve"> </w:t>
      </w:r>
    </w:p>
    <w:p w14:paraId="37FC8C44" w14:textId="663DC3E6" w:rsidR="00F74E14" w:rsidRPr="00DF3447" w:rsidRDefault="0089136E" w:rsidP="006C3079">
      <w:pPr>
        <w:pStyle w:val="Listeafsnit"/>
        <w:numPr>
          <w:ilvl w:val="1"/>
          <w:numId w:val="2"/>
        </w:numPr>
        <w:tabs>
          <w:tab w:val="left" w:pos="833"/>
          <w:tab w:val="left" w:pos="834"/>
        </w:tabs>
        <w:spacing w:before="10"/>
        <w:ind w:right="258"/>
        <w:rPr>
          <w:sz w:val="24"/>
          <w:szCs w:val="24"/>
          <w:lang w:val="da-DK"/>
        </w:rPr>
      </w:pPr>
      <w:r w:rsidRPr="00DF3447">
        <w:rPr>
          <w:sz w:val="24"/>
          <w:szCs w:val="24"/>
          <w:lang w:val="da-DK"/>
        </w:rPr>
        <w:t xml:space="preserve">For patienter med ustabil, svær psoriasis defineret ved PASI &gt; 10 og manglende forventning om sygdommen kan bringes i ro med MTX kan første generations biologisk behandling </w:t>
      </w:r>
      <w:r w:rsidR="001E1BB8">
        <w:rPr>
          <w:sz w:val="24"/>
          <w:szCs w:val="24"/>
          <w:lang w:val="da-DK"/>
        </w:rPr>
        <w:t xml:space="preserve">(alle </w:t>
      </w:r>
      <w:proofErr w:type="spellStart"/>
      <w:r w:rsidR="001E1BB8">
        <w:rPr>
          <w:sz w:val="24"/>
          <w:szCs w:val="24"/>
          <w:lang w:val="da-DK"/>
        </w:rPr>
        <w:t>anti</w:t>
      </w:r>
      <w:proofErr w:type="spellEnd"/>
      <w:r w:rsidR="001E1BB8">
        <w:rPr>
          <w:sz w:val="24"/>
          <w:szCs w:val="24"/>
          <w:lang w:val="da-DK"/>
        </w:rPr>
        <w:t>-</w:t>
      </w:r>
      <w:proofErr w:type="gramStart"/>
      <w:r w:rsidR="001E1BB8">
        <w:rPr>
          <w:sz w:val="24"/>
          <w:szCs w:val="24"/>
          <w:lang w:val="da-DK"/>
        </w:rPr>
        <w:t>TNF behandlinger</w:t>
      </w:r>
      <w:proofErr w:type="gramEnd"/>
      <w:r w:rsidR="001E1BB8">
        <w:rPr>
          <w:sz w:val="24"/>
          <w:szCs w:val="24"/>
          <w:lang w:val="da-DK"/>
        </w:rPr>
        <w:t xml:space="preserve"> i rækkefølge som angivet af Medicinrådet) </w:t>
      </w:r>
      <w:r w:rsidRPr="00DF3447">
        <w:rPr>
          <w:sz w:val="24"/>
          <w:szCs w:val="24"/>
          <w:lang w:val="da-DK"/>
        </w:rPr>
        <w:t>startes direkte</w:t>
      </w:r>
      <w:r w:rsidR="00B9665C" w:rsidRPr="00DF3447">
        <w:rPr>
          <w:sz w:val="24"/>
          <w:szCs w:val="24"/>
          <w:lang w:val="da-DK"/>
        </w:rPr>
        <w:t>.</w:t>
      </w:r>
    </w:p>
    <w:bookmarkEnd w:id="1"/>
    <w:p w14:paraId="361D8371" w14:textId="77777777" w:rsidR="0089136E" w:rsidRPr="00DF3447" w:rsidRDefault="0089136E">
      <w:pPr>
        <w:pStyle w:val="Overskrift2"/>
        <w:rPr>
          <w:lang w:val="da-DK"/>
        </w:rPr>
      </w:pPr>
    </w:p>
    <w:p w14:paraId="6E9DD2AF" w14:textId="2E957104" w:rsidR="00F74E14" w:rsidRPr="00DF3447" w:rsidRDefault="001C086A">
      <w:pPr>
        <w:pStyle w:val="Overskrift2"/>
        <w:rPr>
          <w:lang w:val="da-DK"/>
        </w:rPr>
      </w:pPr>
      <w:r w:rsidRPr="00DF3447">
        <w:rPr>
          <w:lang w:val="da-DK"/>
        </w:rPr>
        <w:t>For methotrexat gælder:</w:t>
      </w:r>
    </w:p>
    <w:p w14:paraId="37A87671" w14:textId="268CBBC1" w:rsidR="00F74E14" w:rsidRPr="00DF3447" w:rsidRDefault="001C086A">
      <w:pPr>
        <w:pStyle w:val="Brdtekst"/>
        <w:spacing w:before="1"/>
        <w:ind w:left="112" w:right="138"/>
        <w:rPr>
          <w:lang w:val="da-DK"/>
        </w:rPr>
      </w:pPr>
      <w:r w:rsidRPr="00DF3447">
        <w:rPr>
          <w:lang w:val="da-DK"/>
        </w:rPr>
        <w:t xml:space="preserve">Manglende respons på methotrexat defineres som ikke tilfredsstillende effekt hos patienter, der </w:t>
      </w:r>
      <w:r w:rsidRPr="00DF3447">
        <w:rPr>
          <w:lang w:val="da-DK"/>
        </w:rPr>
        <w:lastRenderedPageBreak/>
        <w:t>er behandlet i minimum 3 mdr. med højest tolererede dosis (typisk 15-25 mg ugentligt peroralt). Ved utilstrækkelig effekt eller subjektive gener (</w:t>
      </w:r>
      <w:proofErr w:type="spellStart"/>
      <w:r w:rsidRPr="00DF3447">
        <w:rPr>
          <w:lang w:val="da-DK"/>
        </w:rPr>
        <w:t>gastrointestinale</w:t>
      </w:r>
      <w:proofErr w:type="spellEnd"/>
      <w:r w:rsidRPr="00DF3447">
        <w:rPr>
          <w:lang w:val="da-DK"/>
        </w:rPr>
        <w:t xml:space="preserve"> eller cerebrale) af oral MTX </w:t>
      </w:r>
      <w:r w:rsidR="001E1BB8">
        <w:rPr>
          <w:lang w:val="da-DK"/>
        </w:rPr>
        <w:t>bør</w:t>
      </w:r>
      <w:r w:rsidR="001E1BB8" w:rsidRPr="00DF3447">
        <w:rPr>
          <w:lang w:val="da-DK"/>
        </w:rPr>
        <w:t xml:space="preserve"> </w:t>
      </w:r>
      <w:r w:rsidRPr="00DF3447">
        <w:rPr>
          <w:lang w:val="da-DK"/>
        </w:rPr>
        <w:t>subkutan administration forsøges.</w:t>
      </w:r>
    </w:p>
    <w:p w14:paraId="54D4920F" w14:textId="77777777" w:rsidR="00F74E14" w:rsidRPr="00DF3447" w:rsidRDefault="001C086A">
      <w:pPr>
        <w:pStyle w:val="Brdtekst"/>
        <w:ind w:left="112" w:right="264"/>
        <w:rPr>
          <w:lang w:val="da-DK"/>
        </w:rPr>
      </w:pPr>
      <w:r w:rsidRPr="00DF3447">
        <w:rPr>
          <w:lang w:val="da-DK"/>
        </w:rPr>
        <w:t xml:space="preserve">Manglende vilje til at begrænse alkoholforbruget er en kontraindikation for MTX, men ikke en genvej til 2. generations </w:t>
      </w:r>
      <w:proofErr w:type="spellStart"/>
      <w:r w:rsidRPr="00DF3447">
        <w:rPr>
          <w:lang w:val="da-DK"/>
        </w:rPr>
        <w:t>immunomodulatorisk</w:t>
      </w:r>
      <w:proofErr w:type="spellEnd"/>
      <w:r w:rsidRPr="00DF3447">
        <w:rPr>
          <w:lang w:val="da-DK"/>
        </w:rPr>
        <w:t xml:space="preserve"> behandling. Patienten bør derfor forsøge en anden oral behandling før 2. generations </w:t>
      </w:r>
      <w:proofErr w:type="spellStart"/>
      <w:r w:rsidRPr="00DF3447">
        <w:rPr>
          <w:lang w:val="da-DK"/>
        </w:rPr>
        <w:t>immunomodulatorisk</w:t>
      </w:r>
      <w:proofErr w:type="spellEnd"/>
      <w:r w:rsidRPr="00DF3447">
        <w:rPr>
          <w:lang w:val="da-DK"/>
        </w:rPr>
        <w:t xml:space="preserve"> behandling.</w:t>
      </w:r>
    </w:p>
    <w:p w14:paraId="79F42E73" w14:textId="77777777" w:rsidR="00F74E14" w:rsidRPr="00DF3447" w:rsidRDefault="00F74E14">
      <w:pPr>
        <w:pStyle w:val="Brdtekst"/>
        <w:spacing w:before="11"/>
        <w:rPr>
          <w:lang w:val="da-DK"/>
        </w:rPr>
      </w:pPr>
    </w:p>
    <w:p w14:paraId="27A6EC49" w14:textId="77777777" w:rsidR="00F74E14" w:rsidRPr="00DF3447" w:rsidRDefault="001C086A">
      <w:pPr>
        <w:pStyle w:val="Overskrift2"/>
        <w:rPr>
          <w:lang w:val="da-DK"/>
        </w:rPr>
      </w:pPr>
      <w:r w:rsidRPr="00DF3447">
        <w:rPr>
          <w:lang w:val="da-DK"/>
        </w:rPr>
        <w:t>For lysbehandling gælder:</w:t>
      </w:r>
    </w:p>
    <w:p w14:paraId="49C385C2" w14:textId="77777777" w:rsidR="00F74E14" w:rsidRPr="00DF3447" w:rsidRDefault="001C086A">
      <w:pPr>
        <w:pStyle w:val="Brdtekst"/>
        <w:spacing w:before="1"/>
        <w:ind w:left="112" w:right="311"/>
        <w:rPr>
          <w:lang w:val="da-DK"/>
        </w:rPr>
      </w:pPr>
      <w:r w:rsidRPr="00DF3447">
        <w:rPr>
          <w:lang w:val="da-DK"/>
        </w:rPr>
        <w:t>Manglende respons på smalspektret UVB-behandling defineres som ikke tilfredsstillende effekt hos patienter, som er behandlet i 8-10 uger, 3 gange ugentligt. Patienter, som har hurtigt recidiv efter endt lysbehandling og har behov for mere end 2 behandlingsperioder pr. år, opfattes ligeledes som non- respondere.</w:t>
      </w:r>
    </w:p>
    <w:p w14:paraId="32FBA7FC" w14:textId="77777777" w:rsidR="00F74E14" w:rsidRPr="00DF3447" w:rsidRDefault="00F74E14">
      <w:pPr>
        <w:pStyle w:val="Brdtekst"/>
        <w:rPr>
          <w:lang w:val="da-DK"/>
        </w:rPr>
      </w:pPr>
    </w:p>
    <w:p w14:paraId="7B6839D9" w14:textId="77777777" w:rsidR="00F74E14" w:rsidRPr="00DF3447" w:rsidRDefault="001C086A">
      <w:pPr>
        <w:pStyle w:val="Overskrift2"/>
        <w:rPr>
          <w:lang w:val="da-DK"/>
        </w:rPr>
      </w:pPr>
      <w:r w:rsidRPr="00DF3447">
        <w:rPr>
          <w:lang w:val="da-DK"/>
        </w:rPr>
        <w:t xml:space="preserve">For </w:t>
      </w:r>
      <w:proofErr w:type="spellStart"/>
      <w:r w:rsidRPr="00DF3447">
        <w:rPr>
          <w:lang w:val="da-DK"/>
        </w:rPr>
        <w:t>acitretin</w:t>
      </w:r>
      <w:proofErr w:type="spellEnd"/>
      <w:r w:rsidRPr="00DF3447">
        <w:rPr>
          <w:lang w:val="da-DK"/>
        </w:rPr>
        <w:t xml:space="preserve"> gælder:</w:t>
      </w:r>
    </w:p>
    <w:p w14:paraId="688028B9" w14:textId="77777777" w:rsidR="00F74E14" w:rsidRPr="00DF3447" w:rsidRDefault="001C086A">
      <w:pPr>
        <w:pStyle w:val="Brdtekst"/>
        <w:ind w:left="112" w:right="957"/>
        <w:rPr>
          <w:lang w:val="da-DK"/>
        </w:rPr>
      </w:pPr>
      <w:r w:rsidRPr="00DF3447">
        <w:rPr>
          <w:lang w:val="da-DK"/>
        </w:rPr>
        <w:t xml:space="preserve">Manglende respons på </w:t>
      </w:r>
      <w:proofErr w:type="spellStart"/>
      <w:r w:rsidRPr="00DF3447">
        <w:rPr>
          <w:lang w:val="da-DK"/>
        </w:rPr>
        <w:t>acitretin</w:t>
      </w:r>
      <w:proofErr w:type="spellEnd"/>
      <w:r w:rsidRPr="00DF3447">
        <w:rPr>
          <w:lang w:val="da-DK"/>
        </w:rPr>
        <w:t xml:space="preserve"> defineres som ikke tilfredsstillende effekt hos patienter, som er behandlet minimum 3 mdr. med </w:t>
      </w:r>
      <w:proofErr w:type="spellStart"/>
      <w:r w:rsidRPr="00DF3447">
        <w:rPr>
          <w:lang w:val="da-DK"/>
        </w:rPr>
        <w:t>acitretin</w:t>
      </w:r>
      <w:proofErr w:type="spellEnd"/>
      <w:r w:rsidRPr="00DF3447">
        <w:rPr>
          <w:lang w:val="da-DK"/>
        </w:rPr>
        <w:t xml:space="preserve"> i en dosis på 25-50 mg dagligt.</w:t>
      </w:r>
    </w:p>
    <w:p w14:paraId="17A73AD2" w14:textId="77777777" w:rsidR="00F74E14" w:rsidRPr="00DF3447" w:rsidRDefault="00F74E14">
      <w:pPr>
        <w:pStyle w:val="Brdtekst"/>
        <w:rPr>
          <w:lang w:val="da-DK"/>
        </w:rPr>
      </w:pPr>
    </w:p>
    <w:p w14:paraId="05883633" w14:textId="6F25C885" w:rsidR="00F74E14" w:rsidRPr="00DF3447" w:rsidRDefault="00BA51D1">
      <w:pPr>
        <w:pStyle w:val="Overskrift1"/>
        <w:numPr>
          <w:ilvl w:val="0"/>
          <w:numId w:val="2"/>
        </w:numPr>
        <w:tabs>
          <w:tab w:val="left" w:pos="353"/>
        </w:tabs>
        <w:spacing w:before="1"/>
        <w:ind w:hanging="241"/>
        <w:rPr>
          <w:lang w:val="da-DK"/>
        </w:rPr>
      </w:pPr>
      <w:r w:rsidRPr="00DF3447">
        <w:rPr>
          <w:lang w:val="da-DK"/>
        </w:rPr>
        <w:t xml:space="preserve">Varetagelse af behandling med 2. generations </w:t>
      </w:r>
      <w:proofErr w:type="spellStart"/>
      <w:r w:rsidRPr="00DF3447">
        <w:rPr>
          <w:lang w:val="da-DK"/>
        </w:rPr>
        <w:t>immunomodul</w:t>
      </w:r>
      <w:r w:rsidR="0089136E" w:rsidRPr="00DF3447">
        <w:rPr>
          <w:lang w:val="da-DK"/>
        </w:rPr>
        <w:t>erende</w:t>
      </w:r>
      <w:proofErr w:type="spellEnd"/>
      <w:r w:rsidRPr="00DF3447">
        <w:rPr>
          <w:lang w:val="da-DK"/>
        </w:rPr>
        <w:t xml:space="preserve"> behandling </w:t>
      </w:r>
      <w:r w:rsidR="00C74D43" w:rsidRPr="00DF3447">
        <w:rPr>
          <w:lang w:val="da-DK"/>
        </w:rPr>
        <w:t>hos</w:t>
      </w:r>
      <w:r w:rsidRPr="00DF3447">
        <w:rPr>
          <w:lang w:val="da-DK"/>
        </w:rPr>
        <w:t xml:space="preserve"> patienter med psoriasis</w:t>
      </w:r>
    </w:p>
    <w:p w14:paraId="2B8B58E8" w14:textId="5138F414" w:rsidR="009746D3" w:rsidRPr="00DF3447" w:rsidRDefault="009746D3" w:rsidP="009746D3">
      <w:pPr>
        <w:pStyle w:val="Brdtekst"/>
        <w:ind w:left="112" w:right="804"/>
        <w:rPr>
          <w:lang w:val="da-DK"/>
        </w:rPr>
      </w:pPr>
      <w:r w:rsidRPr="00907E23">
        <w:rPr>
          <w:lang w:val="da-DK"/>
        </w:rPr>
        <w:t xml:space="preserve">Flere af lægemidlerne er kun registret til anvendelse via hospital, og flere regioner har valgt, at behandlingen med disse lægemidler overvejende foregår via hospital blandt andet pga. regionernes rabatter på medicin. Da flere af de biologiske lægemidler efterhånden har været på markedet i mange år, er det </w:t>
      </w:r>
      <w:proofErr w:type="spellStart"/>
      <w:r w:rsidRPr="00907E23">
        <w:rPr>
          <w:lang w:val="da-DK"/>
        </w:rPr>
        <w:t>DDS’s</w:t>
      </w:r>
      <w:proofErr w:type="spellEnd"/>
      <w:r w:rsidRPr="00907E23">
        <w:rPr>
          <w:lang w:val="da-DK"/>
        </w:rPr>
        <w:t xml:space="preserve"> vurdering, at behandlingen kan foregå i speciallæge praksis med interesse for og kendskab til biologisk behandling samt tilstrækkelig patient volumen. Behandlingen bør foregå i samarbejde med den lokale hudafdeling og vil øge muligheden for lige adgang til behandling. Etablering af sådan en ordning kræver dog en løsning hvor patienterne kan få udleveret medicin via de regionale hospitaler</w:t>
      </w:r>
      <w:r w:rsidR="00AF7E7C" w:rsidRPr="00907E23">
        <w:rPr>
          <w:lang w:val="da-DK"/>
        </w:rPr>
        <w:t xml:space="preserve"> eller således at der opnås de samme rabatter som dem regionerne har forhandlet hjem</w:t>
      </w:r>
      <w:r w:rsidR="00291ABF" w:rsidRPr="00907E23">
        <w:rPr>
          <w:lang w:val="da-DK"/>
        </w:rPr>
        <w:t xml:space="preserve"> til hospitalerne</w:t>
      </w:r>
      <w:r w:rsidR="00AF7E7C" w:rsidRPr="00907E23">
        <w:rPr>
          <w:lang w:val="da-DK"/>
        </w:rPr>
        <w:t>.</w:t>
      </w:r>
      <w:r w:rsidRPr="00DF3447">
        <w:rPr>
          <w:lang w:val="da-DK"/>
        </w:rPr>
        <w:t xml:space="preserve"> </w:t>
      </w:r>
    </w:p>
    <w:p w14:paraId="5561FF48" w14:textId="77777777" w:rsidR="009746D3" w:rsidRPr="00DF3447" w:rsidRDefault="009746D3" w:rsidP="009746D3">
      <w:pPr>
        <w:pStyle w:val="Brdtekst"/>
        <w:spacing w:before="7"/>
        <w:ind w:left="112"/>
        <w:rPr>
          <w:lang w:val="da-DK"/>
        </w:rPr>
      </w:pPr>
    </w:p>
    <w:p w14:paraId="38B8ADE8" w14:textId="77777777" w:rsidR="00F74E14" w:rsidRPr="00DF3447" w:rsidRDefault="001C086A">
      <w:pPr>
        <w:pStyle w:val="Brdtekst"/>
        <w:ind w:left="112"/>
        <w:rPr>
          <w:lang w:val="da-DK"/>
        </w:rPr>
      </w:pPr>
      <w:proofErr w:type="spellStart"/>
      <w:r w:rsidRPr="00DF3447">
        <w:rPr>
          <w:lang w:val="da-DK"/>
        </w:rPr>
        <w:t>Skilarence</w:t>
      </w:r>
      <w:proofErr w:type="spellEnd"/>
      <w:r w:rsidRPr="00DF3447">
        <w:rPr>
          <w:lang w:val="da-DK"/>
        </w:rPr>
        <w:t xml:space="preserve"> har fra den 26. august 2019 generelt klausuleret tilskud til følgende patienter:</w:t>
      </w:r>
    </w:p>
    <w:p w14:paraId="1FF480CA" w14:textId="77777777" w:rsidR="00F74E14" w:rsidRPr="00DF3447" w:rsidRDefault="001C086A">
      <w:pPr>
        <w:pStyle w:val="Brdtekst"/>
        <w:ind w:left="112" w:right="202"/>
        <w:rPr>
          <w:lang w:val="da-DK"/>
        </w:rPr>
      </w:pPr>
      <w:r w:rsidRPr="00DF3447">
        <w:rPr>
          <w:lang w:val="da-DK"/>
        </w:rPr>
        <w:t xml:space="preserve">Patienter med moderat til svær </w:t>
      </w:r>
      <w:proofErr w:type="spellStart"/>
      <w:r w:rsidRPr="00DF3447">
        <w:rPr>
          <w:lang w:val="da-DK"/>
        </w:rPr>
        <w:t>plaque</w:t>
      </w:r>
      <w:proofErr w:type="spellEnd"/>
      <w:r w:rsidRPr="00DF3447">
        <w:rPr>
          <w:lang w:val="da-DK"/>
        </w:rPr>
        <w:t xml:space="preserve"> psoriasis (PASI, BSA eller DLQI &gt;10), hvor behandling med oral og subkutan methotrexat samt biologiske lægemidler har vist sig utilstrækkelig, er kontraindiceret eller ikke tolereres. Det betyder, at for disse patienter skal der blot markeres tilskud på recepten. For patienter, der ikke opfylder tilskudsklausulen, skal der fortsat søges om enkelttilskud på vanligvis.</w:t>
      </w:r>
    </w:p>
    <w:p w14:paraId="01FD8141" w14:textId="77777777" w:rsidR="00F74E14" w:rsidRPr="00DF3447" w:rsidRDefault="00F74E14">
      <w:pPr>
        <w:pStyle w:val="Brdtekst"/>
        <w:rPr>
          <w:lang w:val="da-DK"/>
        </w:rPr>
      </w:pPr>
    </w:p>
    <w:p w14:paraId="7554531B" w14:textId="77777777" w:rsidR="00F74E14" w:rsidRPr="00DF3447" w:rsidRDefault="00F74E14">
      <w:pPr>
        <w:pStyle w:val="Brdtekst"/>
        <w:rPr>
          <w:lang w:val="da-DK"/>
        </w:rPr>
      </w:pPr>
    </w:p>
    <w:p w14:paraId="3F05315D" w14:textId="77777777" w:rsidR="00F74E14" w:rsidRPr="00DF3447" w:rsidRDefault="001C086A">
      <w:pPr>
        <w:pStyle w:val="Overskrift1"/>
        <w:numPr>
          <w:ilvl w:val="0"/>
          <w:numId w:val="2"/>
        </w:numPr>
        <w:tabs>
          <w:tab w:val="left" w:pos="354"/>
        </w:tabs>
        <w:spacing w:before="1"/>
        <w:ind w:left="353" w:hanging="242"/>
        <w:rPr>
          <w:lang w:val="da-DK"/>
        </w:rPr>
      </w:pPr>
      <w:r w:rsidRPr="00DF3447">
        <w:rPr>
          <w:lang w:val="da-DK"/>
        </w:rPr>
        <w:t xml:space="preserve">Anden generations </w:t>
      </w:r>
      <w:proofErr w:type="spellStart"/>
      <w:r w:rsidRPr="00DF3447">
        <w:rPr>
          <w:lang w:val="da-DK"/>
        </w:rPr>
        <w:t>immunomodulatorisk</w:t>
      </w:r>
      <w:proofErr w:type="spellEnd"/>
      <w:r w:rsidRPr="00DF3447">
        <w:rPr>
          <w:lang w:val="da-DK"/>
        </w:rPr>
        <w:t xml:space="preserve"> behandling indiceret for</w:t>
      </w:r>
      <w:r w:rsidRPr="00DF3447">
        <w:rPr>
          <w:spacing w:val="3"/>
          <w:lang w:val="da-DK"/>
        </w:rPr>
        <w:t xml:space="preserve"> </w:t>
      </w:r>
      <w:r w:rsidRPr="00DF3447">
        <w:rPr>
          <w:lang w:val="da-DK"/>
        </w:rPr>
        <w:t>psoriasis</w:t>
      </w:r>
    </w:p>
    <w:p w14:paraId="4543A59C" w14:textId="77777777" w:rsidR="00F74E14" w:rsidRPr="00DF3447" w:rsidRDefault="001C086A">
      <w:pPr>
        <w:pStyle w:val="Brdtekst"/>
        <w:ind w:left="112" w:right="614"/>
        <w:rPr>
          <w:lang w:val="da-DK"/>
        </w:rPr>
      </w:pPr>
      <w:proofErr w:type="spellStart"/>
      <w:r w:rsidRPr="00DF3447">
        <w:rPr>
          <w:lang w:val="da-DK"/>
        </w:rPr>
        <w:t>Etanercept</w:t>
      </w:r>
      <w:proofErr w:type="spellEnd"/>
      <w:r w:rsidRPr="00DF3447">
        <w:rPr>
          <w:lang w:val="da-DK"/>
        </w:rPr>
        <w:t xml:space="preserve"> (</w:t>
      </w:r>
      <w:proofErr w:type="spellStart"/>
      <w:r w:rsidRPr="00DF3447">
        <w:rPr>
          <w:lang w:val="da-DK"/>
        </w:rPr>
        <w:t>Enbrel</w:t>
      </w:r>
      <w:proofErr w:type="spellEnd"/>
      <w:r w:rsidRPr="00DF3447">
        <w:rPr>
          <w:lang w:val="da-DK"/>
        </w:rPr>
        <w:t xml:space="preserve">®, </w:t>
      </w:r>
      <w:proofErr w:type="spellStart"/>
      <w:r w:rsidRPr="00DF3447">
        <w:rPr>
          <w:lang w:val="da-DK"/>
        </w:rPr>
        <w:t>Benepali</w:t>
      </w:r>
      <w:proofErr w:type="spellEnd"/>
      <w:r w:rsidRPr="00DF3447">
        <w:rPr>
          <w:lang w:val="da-DK"/>
        </w:rPr>
        <w:t xml:space="preserve">®), </w:t>
      </w:r>
      <w:proofErr w:type="spellStart"/>
      <w:r w:rsidRPr="00DF3447">
        <w:rPr>
          <w:lang w:val="da-DK"/>
        </w:rPr>
        <w:t>Infliximab</w:t>
      </w:r>
      <w:proofErr w:type="spellEnd"/>
      <w:r w:rsidRPr="00DF3447">
        <w:rPr>
          <w:lang w:val="da-DK"/>
        </w:rPr>
        <w:t xml:space="preserve"> (</w:t>
      </w:r>
      <w:proofErr w:type="spellStart"/>
      <w:r w:rsidRPr="00DF3447">
        <w:rPr>
          <w:lang w:val="da-DK"/>
        </w:rPr>
        <w:t>Remicade</w:t>
      </w:r>
      <w:proofErr w:type="spellEnd"/>
      <w:r w:rsidRPr="00DF3447">
        <w:rPr>
          <w:lang w:val="da-DK"/>
        </w:rPr>
        <w:t xml:space="preserve">®, </w:t>
      </w:r>
      <w:proofErr w:type="spellStart"/>
      <w:r w:rsidRPr="00DF3447">
        <w:rPr>
          <w:lang w:val="da-DK"/>
        </w:rPr>
        <w:t>Remsima</w:t>
      </w:r>
      <w:proofErr w:type="spellEnd"/>
      <w:r w:rsidRPr="00DF3447">
        <w:rPr>
          <w:lang w:val="da-DK"/>
        </w:rPr>
        <w:t xml:space="preserve">®, </w:t>
      </w:r>
      <w:proofErr w:type="spellStart"/>
      <w:r w:rsidRPr="00DF3447">
        <w:rPr>
          <w:lang w:val="da-DK"/>
        </w:rPr>
        <w:t>Inflectra</w:t>
      </w:r>
      <w:proofErr w:type="spellEnd"/>
      <w:r w:rsidRPr="00DF3447">
        <w:rPr>
          <w:lang w:val="da-DK"/>
        </w:rPr>
        <w:t xml:space="preserve">®), </w:t>
      </w:r>
      <w:proofErr w:type="spellStart"/>
      <w:r w:rsidRPr="00DF3447">
        <w:rPr>
          <w:lang w:val="da-DK"/>
        </w:rPr>
        <w:t>Adalimumab</w:t>
      </w:r>
      <w:proofErr w:type="spellEnd"/>
      <w:r w:rsidRPr="00DF3447">
        <w:rPr>
          <w:lang w:val="da-DK"/>
        </w:rPr>
        <w:t xml:space="preserve"> (</w:t>
      </w:r>
      <w:proofErr w:type="spellStart"/>
      <w:r w:rsidRPr="00DF3447">
        <w:rPr>
          <w:lang w:val="da-DK"/>
        </w:rPr>
        <w:t>Humira</w:t>
      </w:r>
      <w:proofErr w:type="spellEnd"/>
      <w:r w:rsidRPr="00DF3447">
        <w:rPr>
          <w:lang w:val="da-DK"/>
        </w:rPr>
        <w:t xml:space="preserve">®), </w:t>
      </w:r>
      <w:proofErr w:type="spellStart"/>
      <w:r w:rsidRPr="00DF3447">
        <w:rPr>
          <w:lang w:val="da-DK"/>
        </w:rPr>
        <w:t>Certolizumab</w:t>
      </w:r>
      <w:proofErr w:type="spellEnd"/>
      <w:r w:rsidRPr="00DF3447">
        <w:rPr>
          <w:lang w:val="da-DK"/>
        </w:rPr>
        <w:t xml:space="preserve"> </w:t>
      </w:r>
      <w:proofErr w:type="spellStart"/>
      <w:r w:rsidRPr="00DF3447">
        <w:rPr>
          <w:lang w:val="da-DK"/>
        </w:rPr>
        <w:t>pegol</w:t>
      </w:r>
      <w:proofErr w:type="spellEnd"/>
      <w:r w:rsidRPr="00DF3447">
        <w:rPr>
          <w:lang w:val="da-DK"/>
        </w:rPr>
        <w:t xml:space="preserve"> (</w:t>
      </w:r>
      <w:proofErr w:type="spellStart"/>
      <w:r w:rsidRPr="00DF3447">
        <w:rPr>
          <w:lang w:val="da-DK"/>
        </w:rPr>
        <w:t>Cimzia</w:t>
      </w:r>
      <w:proofErr w:type="spellEnd"/>
      <w:r w:rsidRPr="00DF3447">
        <w:rPr>
          <w:lang w:val="da-DK"/>
        </w:rPr>
        <w:t xml:space="preserve">®), </w:t>
      </w:r>
      <w:proofErr w:type="spellStart"/>
      <w:r w:rsidRPr="00DF3447">
        <w:rPr>
          <w:lang w:val="da-DK"/>
        </w:rPr>
        <w:t>Ustekinumab</w:t>
      </w:r>
      <w:proofErr w:type="spellEnd"/>
      <w:r w:rsidRPr="00DF3447">
        <w:rPr>
          <w:lang w:val="da-DK"/>
        </w:rPr>
        <w:t xml:space="preserve"> (Stelara®), </w:t>
      </w:r>
      <w:proofErr w:type="spellStart"/>
      <w:r w:rsidRPr="00DF3447">
        <w:rPr>
          <w:lang w:val="da-DK"/>
        </w:rPr>
        <w:t>Secukinumab</w:t>
      </w:r>
      <w:proofErr w:type="spellEnd"/>
      <w:r w:rsidRPr="00DF3447">
        <w:rPr>
          <w:lang w:val="da-DK"/>
        </w:rPr>
        <w:t xml:space="preserve"> (</w:t>
      </w:r>
      <w:proofErr w:type="spellStart"/>
      <w:r w:rsidRPr="00DF3447">
        <w:rPr>
          <w:lang w:val="da-DK"/>
        </w:rPr>
        <w:t>Cosentyx</w:t>
      </w:r>
      <w:proofErr w:type="spellEnd"/>
      <w:r w:rsidRPr="00DF3447">
        <w:rPr>
          <w:lang w:val="da-DK"/>
        </w:rPr>
        <w:t xml:space="preserve">®), </w:t>
      </w:r>
      <w:proofErr w:type="spellStart"/>
      <w:r w:rsidRPr="00DF3447">
        <w:rPr>
          <w:lang w:val="da-DK"/>
        </w:rPr>
        <w:t>Ixekizumab</w:t>
      </w:r>
      <w:proofErr w:type="spellEnd"/>
      <w:r w:rsidRPr="00DF3447">
        <w:rPr>
          <w:lang w:val="da-DK"/>
        </w:rPr>
        <w:t xml:space="preserve"> (</w:t>
      </w:r>
      <w:proofErr w:type="spellStart"/>
      <w:r w:rsidRPr="00DF3447">
        <w:rPr>
          <w:lang w:val="da-DK"/>
        </w:rPr>
        <w:t>Taltz</w:t>
      </w:r>
      <w:proofErr w:type="spellEnd"/>
      <w:r w:rsidRPr="00DF3447">
        <w:rPr>
          <w:lang w:val="da-DK"/>
        </w:rPr>
        <w:t xml:space="preserve">®), </w:t>
      </w:r>
      <w:proofErr w:type="spellStart"/>
      <w:r w:rsidRPr="00DF3447">
        <w:rPr>
          <w:lang w:val="da-DK"/>
        </w:rPr>
        <w:t>brodalumab</w:t>
      </w:r>
      <w:proofErr w:type="spellEnd"/>
      <w:r w:rsidRPr="00DF3447">
        <w:rPr>
          <w:lang w:val="da-DK"/>
        </w:rPr>
        <w:t xml:space="preserve"> (</w:t>
      </w:r>
      <w:proofErr w:type="spellStart"/>
      <w:r w:rsidRPr="00DF3447">
        <w:rPr>
          <w:lang w:val="da-DK"/>
        </w:rPr>
        <w:t>Kyntheum</w:t>
      </w:r>
      <w:proofErr w:type="spellEnd"/>
      <w:r w:rsidRPr="00DF3447">
        <w:rPr>
          <w:lang w:val="da-DK"/>
        </w:rPr>
        <w:t xml:space="preserve">®), </w:t>
      </w:r>
      <w:proofErr w:type="spellStart"/>
      <w:r w:rsidRPr="00DF3447">
        <w:rPr>
          <w:lang w:val="da-DK"/>
        </w:rPr>
        <w:t>guselkumab</w:t>
      </w:r>
      <w:proofErr w:type="spellEnd"/>
      <w:r w:rsidRPr="00DF3447">
        <w:rPr>
          <w:lang w:val="da-DK"/>
        </w:rPr>
        <w:t xml:space="preserve"> (</w:t>
      </w:r>
      <w:proofErr w:type="spellStart"/>
      <w:r w:rsidRPr="00DF3447">
        <w:rPr>
          <w:lang w:val="da-DK"/>
        </w:rPr>
        <w:t>Tremfya</w:t>
      </w:r>
      <w:proofErr w:type="spellEnd"/>
      <w:r w:rsidRPr="00DF3447">
        <w:rPr>
          <w:lang w:val="da-DK"/>
        </w:rPr>
        <w:t xml:space="preserve">®), </w:t>
      </w:r>
      <w:proofErr w:type="spellStart"/>
      <w:r w:rsidR="00CD46D7" w:rsidRPr="00DF3447">
        <w:rPr>
          <w:lang w:val="da-DK"/>
        </w:rPr>
        <w:t>tildrakizumab</w:t>
      </w:r>
      <w:proofErr w:type="spellEnd"/>
      <w:r w:rsidR="00CD46D7" w:rsidRPr="00DF3447">
        <w:rPr>
          <w:lang w:val="da-DK"/>
        </w:rPr>
        <w:t xml:space="preserve"> (</w:t>
      </w:r>
      <w:proofErr w:type="spellStart"/>
      <w:r w:rsidR="00CD46D7" w:rsidRPr="00DF3447">
        <w:rPr>
          <w:lang w:val="da-DK"/>
        </w:rPr>
        <w:t>Ilumetri</w:t>
      </w:r>
      <w:proofErr w:type="spellEnd"/>
      <w:r w:rsidR="00CD46D7" w:rsidRPr="00DF3447">
        <w:rPr>
          <w:lang w:val="da-DK"/>
        </w:rPr>
        <w:t xml:space="preserve">®), </w:t>
      </w:r>
      <w:proofErr w:type="spellStart"/>
      <w:r w:rsidR="00CD46D7" w:rsidRPr="00DF3447">
        <w:rPr>
          <w:lang w:val="da-DK"/>
        </w:rPr>
        <w:t>risankizumab</w:t>
      </w:r>
      <w:proofErr w:type="spellEnd"/>
      <w:r w:rsidR="00CD46D7" w:rsidRPr="00DF3447">
        <w:rPr>
          <w:lang w:val="da-DK"/>
        </w:rPr>
        <w:t xml:space="preserve"> (</w:t>
      </w:r>
      <w:proofErr w:type="spellStart"/>
      <w:r w:rsidR="00CD46D7" w:rsidRPr="00DF3447">
        <w:rPr>
          <w:lang w:val="da-DK"/>
        </w:rPr>
        <w:t>Skyrizi</w:t>
      </w:r>
      <w:proofErr w:type="spellEnd"/>
      <w:r w:rsidR="00CD46D7" w:rsidRPr="00DF3447">
        <w:rPr>
          <w:lang w:val="da-DK"/>
        </w:rPr>
        <w:t xml:space="preserve">®), </w:t>
      </w:r>
      <w:proofErr w:type="spellStart"/>
      <w:r w:rsidRPr="00DF3447">
        <w:rPr>
          <w:lang w:val="da-DK"/>
        </w:rPr>
        <w:t>dimethylfumarat</w:t>
      </w:r>
      <w:proofErr w:type="spellEnd"/>
      <w:r w:rsidRPr="00DF3447">
        <w:rPr>
          <w:lang w:val="da-DK"/>
        </w:rPr>
        <w:t xml:space="preserve"> (</w:t>
      </w:r>
      <w:proofErr w:type="spellStart"/>
      <w:r w:rsidRPr="00DF3447">
        <w:rPr>
          <w:lang w:val="da-DK"/>
        </w:rPr>
        <w:t>Skilarence</w:t>
      </w:r>
      <w:proofErr w:type="spellEnd"/>
      <w:r w:rsidRPr="00DF3447">
        <w:rPr>
          <w:lang w:val="da-DK"/>
        </w:rPr>
        <w:t xml:space="preserve">®) og </w:t>
      </w:r>
      <w:proofErr w:type="spellStart"/>
      <w:r w:rsidRPr="00DF3447">
        <w:rPr>
          <w:lang w:val="da-DK"/>
        </w:rPr>
        <w:t>apremilast</w:t>
      </w:r>
      <w:proofErr w:type="spellEnd"/>
      <w:r w:rsidRPr="00DF3447">
        <w:rPr>
          <w:lang w:val="da-DK"/>
        </w:rPr>
        <w:t xml:space="preserve"> (</w:t>
      </w:r>
      <w:proofErr w:type="spellStart"/>
      <w:r w:rsidRPr="00DF3447">
        <w:rPr>
          <w:lang w:val="da-DK"/>
        </w:rPr>
        <w:t>Otezla</w:t>
      </w:r>
      <w:proofErr w:type="spellEnd"/>
      <w:r w:rsidRPr="00DF3447">
        <w:rPr>
          <w:lang w:val="da-DK"/>
        </w:rPr>
        <w:t>®).</w:t>
      </w:r>
    </w:p>
    <w:p w14:paraId="4F352FEE" w14:textId="77777777" w:rsidR="00F74E14" w:rsidRPr="00DF3447" w:rsidRDefault="00F74E14">
      <w:pPr>
        <w:pStyle w:val="Brdtekst"/>
        <w:rPr>
          <w:lang w:val="da-DK"/>
        </w:rPr>
      </w:pPr>
    </w:p>
    <w:p w14:paraId="467CAAA2" w14:textId="77777777" w:rsidR="00F74E14" w:rsidRPr="00DF3447" w:rsidRDefault="001C086A">
      <w:pPr>
        <w:pStyle w:val="Brdtekst"/>
        <w:ind w:left="112" w:right="256"/>
        <w:rPr>
          <w:lang w:val="da-DK"/>
        </w:rPr>
      </w:pPr>
      <w:r w:rsidRPr="00DF3447">
        <w:rPr>
          <w:lang w:val="da-DK"/>
        </w:rPr>
        <w:t xml:space="preserve">Det er en blandt gruppe af lægemidler, der indeholder </w:t>
      </w:r>
      <w:proofErr w:type="spellStart"/>
      <w:r w:rsidRPr="00DF3447">
        <w:rPr>
          <w:lang w:val="da-DK"/>
        </w:rPr>
        <w:t>fusionproteiner</w:t>
      </w:r>
      <w:proofErr w:type="spellEnd"/>
      <w:r w:rsidRPr="00DF3447">
        <w:rPr>
          <w:lang w:val="da-DK"/>
        </w:rPr>
        <w:t xml:space="preserve">, monoklonale antistoffer, små molekyler og mere klassisk immunhæmmende stoffer. Lægemidlerne hæmmer forskellige </w:t>
      </w:r>
      <w:proofErr w:type="spellStart"/>
      <w:r w:rsidRPr="00DF3447">
        <w:rPr>
          <w:lang w:val="da-DK"/>
        </w:rPr>
        <w:t>pathways</w:t>
      </w:r>
      <w:proofErr w:type="spellEnd"/>
      <w:r w:rsidRPr="00DF3447">
        <w:rPr>
          <w:lang w:val="da-DK"/>
        </w:rPr>
        <w:t xml:space="preserve"> (TNF </w:t>
      </w:r>
      <w:proofErr w:type="spellStart"/>
      <w:r w:rsidRPr="00DF3447">
        <w:rPr>
          <w:lang w:val="da-DK"/>
        </w:rPr>
        <w:t>hæmmere</w:t>
      </w:r>
      <w:proofErr w:type="spellEnd"/>
      <w:r w:rsidRPr="00DF3447">
        <w:rPr>
          <w:lang w:val="da-DK"/>
        </w:rPr>
        <w:t xml:space="preserve">, IL17 </w:t>
      </w:r>
      <w:proofErr w:type="spellStart"/>
      <w:r w:rsidRPr="00DF3447">
        <w:rPr>
          <w:lang w:val="da-DK"/>
        </w:rPr>
        <w:t>hæmmere</w:t>
      </w:r>
      <w:proofErr w:type="spellEnd"/>
      <w:r w:rsidRPr="00DF3447">
        <w:rPr>
          <w:lang w:val="da-DK"/>
        </w:rPr>
        <w:t xml:space="preserve">, IL23 </w:t>
      </w:r>
      <w:proofErr w:type="spellStart"/>
      <w:r w:rsidRPr="00DF3447">
        <w:rPr>
          <w:lang w:val="da-DK"/>
        </w:rPr>
        <w:t>hæmmere</w:t>
      </w:r>
      <w:proofErr w:type="spellEnd"/>
      <w:r w:rsidRPr="00DF3447">
        <w:rPr>
          <w:lang w:val="da-DK"/>
        </w:rPr>
        <w:t xml:space="preserve">, IL12/23 </w:t>
      </w:r>
      <w:proofErr w:type="spellStart"/>
      <w:r w:rsidRPr="00DF3447">
        <w:rPr>
          <w:lang w:val="da-DK"/>
        </w:rPr>
        <w:t>hæmmere</w:t>
      </w:r>
      <w:proofErr w:type="spellEnd"/>
      <w:r w:rsidRPr="00DF3447">
        <w:rPr>
          <w:lang w:val="da-DK"/>
        </w:rPr>
        <w:t xml:space="preserve">, </w:t>
      </w:r>
      <w:proofErr w:type="spellStart"/>
      <w:r w:rsidRPr="00DF3447">
        <w:rPr>
          <w:lang w:val="da-DK"/>
        </w:rPr>
        <w:t>phosphodiesterase</w:t>
      </w:r>
      <w:proofErr w:type="spellEnd"/>
      <w:r w:rsidRPr="00DF3447">
        <w:rPr>
          <w:lang w:val="da-DK"/>
        </w:rPr>
        <w:t xml:space="preserve"> </w:t>
      </w:r>
      <w:proofErr w:type="spellStart"/>
      <w:r w:rsidRPr="00DF3447">
        <w:rPr>
          <w:lang w:val="da-DK"/>
        </w:rPr>
        <w:t>hæmmere</w:t>
      </w:r>
      <w:proofErr w:type="spellEnd"/>
      <w:r w:rsidRPr="00DF3447">
        <w:rPr>
          <w:lang w:val="da-DK"/>
        </w:rPr>
        <w:t xml:space="preserve"> og en formodet hæmning af NF-</w:t>
      </w:r>
      <w:r w:rsidRPr="00DF3447">
        <w:t>κ</w:t>
      </w:r>
      <w:r w:rsidRPr="00DF3447">
        <w:rPr>
          <w:lang w:val="da-DK"/>
        </w:rPr>
        <w:t>B) via forskellige mekanismer.</w:t>
      </w:r>
    </w:p>
    <w:p w14:paraId="37AAD547" w14:textId="77777777" w:rsidR="00F74E14" w:rsidRPr="00DF3447" w:rsidRDefault="00F74E14">
      <w:pPr>
        <w:pStyle w:val="Brdtekst"/>
        <w:rPr>
          <w:lang w:val="da-DK"/>
        </w:rPr>
      </w:pPr>
    </w:p>
    <w:p w14:paraId="2FC4E920" w14:textId="77777777" w:rsidR="00F74E14" w:rsidRPr="00DF3447" w:rsidRDefault="001C086A">
      <w:pPr>
        <w:pStyle w:val="Brdtekst"/>
        <w:ind w:left="112"/>
        <w:rPr>
          <w:lang w:val="da-DK"/>
        </w:rPr>
      </w:pPr>
      <w:r w:rsidRPr="00DF3447">
        <w:rPr>
          <w:lang w:val="da-DK"/>
        </w:rPr>
        <w:lastRenderedPageBreak/>
        <w:t xml:space="preserve">Følgende lægemidler i gruppen af anden generations </w:t>
      </w:r>
      <w:proofErr w:type="spellStart"/>
      <w:r w:rsidRPr="00DF3447">
        <w:rPr>
          <w:lang w:val="da-DK"/>
        </w:rPr>
        <w:t>immunomodulatorisk</w:t>
      </w:r>
      <w:proofErr w:type="spellEnd"/>
      <w:r w:rsidRPr="00DF3447">
        <w:rPr>
          <w:lang w:val="da-DK"/>
        </w:rPr>
        <w:t xml:space="preserve"> behandling indiceret for psoriasis er aktuelt på </w:t>
      </w:r>
      <w:proofErr w:type="spellStart"/>
      <w:r w:rsidRPr="00DF3447">
        <w:rPr>
          <w:lang w:val="da-DK"/>
        </w:rPr>
        <w:t>market</w:t>
      </w:r>
      <w:proofErr w:type="spellEnd"/>
      <w:r w:rsidRPr="00DF3447">
        <w:rPr>
          <w:lang w:val="da-DK"/>
        </w:rPr>
        <w:t>:</w:t>
      </w:r>
    </w:p>
    <w:p w14:paraId="30302C6B" w14:textId="77777777" w:rsidR="00F74E14" w:rsidRPr="00DF3447" w:rsidRDefault="00F74E14">
      <w:pPr>
        <w:pStyle w:val="Brdtekst"/>
        <w:spacing w:before="1"/>
        <w:rPr>
          <w:lang w:val="da-DK"/>
        </w:rPr>
      </w:pPr>
    </w:p>
    <w:p w14:paraId="4324DCC3" w14:textId="77777777" w:rsidR="00F74E14" w:rsidRPr="00DF3447" w:rsidRDefault="001C086A">
      <w:pPr>
        <w:spacing w:line="275" w:lineRule="exact"/>
        <w:ind w:left="112"/>
        <w:jc w:val="both"/>
        <w:rPr>
          <w:sz w:val="24"/>
          <w:szCs w:val="24"/>
          <w:lang w:val="da-DK"/>
        </w:rPr>
      </w:pPr>
      <w:proofErr w:type="spellStart"/>
      <w:r w:rsidRPr="00DF3447">
        <w:rPr>
          <w:b/>
          <w:sz w:val="24"/>
          <w:szCs w:val="24"/>
          <w:lang w:val="da-DK"/>
        </w:rPr>
        <w:t>Etanercept</w:t>
      </w:r>
      <w:proofErr w:type="spellEnd"/>
      <w:r w:rsidRPr="00DF3447">
        <w:rPr>
          <w:b/>
          <w:sz w:val="24"/>
          <w:szCs w:val="24"/>
          <w:lang w:val="da-DK"/>
        </w:rPr>
        <w:t xml:space="preserve"> </w:t>
      </w:r>
      <w:r w:rsidRPr="00DF3447">
        <w:rPr>
          <w:sz w:val="24"/>
          <w:szCs w:val="24"/>
          <w:lang w:val="da-DK"/>
        </w:rPr>
        <w:t>(</w:t>
      </w:r>
      <w:proofErr w:type="spellStart"/>
      <w:r w:rsidRPr="00DF3447">
        <w:rPr>
          <w:sz w:val="24"/>
          <w:szCs w:val="24"/>
          <w:lang w:val="da-DK"/>
        </w:rPr>
        <w:t>Enbrel</w:t>
      </w:r>
      <w:proofErr w:type="spellEnd"/>
      <w:r w:rsidRPr="00DF3447">
        <w:rPr>
          <w:sz w:val="24"/>
          <w:szCs w:val="24"/>
          <w:lang w:val="da-DK"/>
        </w:rPr>
        <w:t xml:space="preserve">®, </w:t>
      </w:r>
      <w:proofErr w:type="spellStart"/>
      <w:r w:rsidRPr="00DF3447">
        <w:rPr>
          <w:sz w:val="24"/>
          <w:szCs w:val="24"/>
          <w:lang w:val="da-DK"/>
        </w:rPr>
        <w:t>Benepali</w:t>
      </w:r>
      <w:proofErr w:type="spellEnd"/>
      <w:r w:rsidRPr="00DF3447">
        <w:rPr>
          <w:sz w:val="24"/>
          <w:szCs w:val="24"/>
          <w:lang w:val="da-DK"/>
        </w:rPr>
        <w:t>®)</w:t>
      </w:r>
    </w:p>
    <w:p w14:paraId="78360126" w14:textId="77777777" w:rsidR="00F74E14" w:rsidRPr="00DF3447" w:rsidRDefault="001C086A">
      <w:pPr>
        <w:pStyle w:val="Brdtekst"/>
        <w:ind w:left="112" w:right="112"/>
        <w:jc w:val="both"/>
        <w:rPr>
          <w:lang w:val="da-DK"/>
        </w:rPr>
      </w:pPr>
      <w:proofErr w:type="spellStart"/>
      <w:r w:rsidRPr="00DF3447">
        <w:rPr>
          <w:lang w:val="da-DK"/>
        </w:rPr>
        <w:t>Etanercept</w:t>
      </w:r>
      <w:proofErr w:type="spellEnd"/>
      <w:r w:rsidRPr="00DF3447">
        <w:rPr>
          <w:lang w:val="da-DK"/>
        </w:rPr>
        <w:t xml:space="preserve"> er et humant </w:t>
      </w:r>
      <w:proofErr w:type="spellStart"/>
      <w:r w:rsidRPr="00DF3447">
        <w:rPr>
          <w:lang w:val="da-DK"/>
        </w:rPr>
        <w:t>rekombinant</w:t>
      </w:r>
      <w:proofErr w:type="spellEnd"/>
      <w:r w:rsidRPr="00DF3447">
        <w:rPr>
          <w:lang w:val="da-DK"/>
        </w:rPr>
        <w:t xml:space="preserve"> TNF-receptor p75 fusionsprotein dannet ved fusion af det </w:t>
      </w:r>
      <w:proofErr w:type="spellStart"/>
      <w:r w:rsidRPr="00DF3447">
        <w:rPr>
          <w:lang w:val="da-DK"/>
        </w:rPr>
        <w:t>ligandbindende</w:t>
      </w:r>
      <w:proofErr w:type="spellEnd"/>
      <w:r w:rsidRPr="00DF3447">
        <w:rPr>
          <w:lang w:val="da-DK"/>
        </w:rPr>
        <w:t xml:space="preserve"> domæne af human TNF-receptor p75 til Fc domænet af human IgG1. </w:t>
      </w:r>
      <w:proofErr w:type="spellStart"/>
      <w:r w:rsidRPr="00DF3447">
        <w:rPr>
          <w:lang w:val="da-DK"/>
        </w:rPr>
        <w:t>Etanercept</w:t>
      </w:r>
      <w:proofErr w:type="spellEnd"/>
      <w:r w:rsidRPr="00DF3447">
        <w:rPr>
          <w:lang w:val="da-DK"/>
        </w:rPr>
        <w:t xml:space="preserve"> binder sig til opløselig og membranbundet TNF med høj specificitet og affinitet, og ophæver således effekten af TNF-alfa. </w:t>
      </w:r>
      <w:proofErr w:type="spellStart"/>
      <w:r w:rsidRPr="00DF3447">
        <w:rPr>
          <w:lang w:val="da-DK"/>
        </w:rPr>
        <w:t>Etanercept</w:t>
      </w:r>
      <w:proofErr w:type="spellEnd"/>
      <w:r w:rsidRPr="00DF3447">
        <w:rPr>
          <w:lang w:val="da-DK"/>
        </w:rPr>
        <w:t xml:space="preserve"> er registreret til behandling af psoriasis og psoriasis gigt hos voksne og børn fra 6</w:t>
      </w:r>
      <w:r w:rsidRPr="00DF3447">
        <w:rPr>
          <w:spacing w:val="-2"/>
          <w:lang w:val="da-DK"/>
        </w:rPr>
        <w:t xml:space="preserve"> </w:t>
      </w:r>
      <w:r w:rsidRPr="00DF3447">
        <w:rPr>
          <w:lang w:val="da-DK"/>
        </w:rPr>
        <w:t>år.</w:t>
      </w:r>
    </w:p>
    <w:p w14:paraId="4AD7069D" w14:textId="77777777" w:rsidR="00F74E14" w:rsidRPr="00DF3447" w:rsidRDefault="00F74E14">
      <w:pPr>
        <w:pStyle w:val="Brdtekst"/>
        <w:spacing w:before="10"/>
        <w:rPr>
          <w:lang w:val="da-DK"/>
        </w:rPr>
      </w:pPr>
    </w:p>
    <w:p w14:paraId="36259FF5" w14:textId="77777777" w:rsidR="00F74E14" w:rsidRPr="00F044A7" w:rsidRDefault="001C086A">
      <w:pPr>
        <w:ind w:left="112"/>
        <w:jc w:val="both"/>
        <w:rPr>
          <w:sz w:val="24"/>
          <w:szCs w:val="24"/>
        </w:rPr>
      </w:pPr>
      <w:r w:rsidRPr="00F044A7">
        <w:rPr>
          <w:b/>
          <w:sz w:val="24"/>
          <w:szCs w:val="24"/>
        </w:rPr>
        <w:t xml:space="preserve">Infliximab </w:t>
      </w:r>
      <w:r w:rsidRPr="00F044A7">
        <w:rPr>
          <w:sz w:val="24"/>
          <w:szCs w:val="24"/>
        </w:rPr>
        <w:t xml:space="preserve">(Remicade®, </w:t>
      </w:r>
      <w:proofErr w:type="spellStart"/>
      <w:r w:rsidRPr="00F044A7">
        <w:rPr>
          <w:sz w:val="24"/>
          <w:szCs w:val="24"/>
        </w:rPr>
        <w:t>Remsima</w:t>
      </w:r>
      <w:proofErr w:type="spellEnd"/>
      <w:r w:rsidRPr="00F044A7">
        <w:rPr>
          <w:sz w:val="24"/>
          <w:szCs w:val="24"/>
        </w:rPr>
        <w:t xml:space="preserve">®, </w:t>
      </w:r>
      <w:proofErr w:type="spellStart"/>
      <w:r w:rsidRPr="00F044A7">
        <w:rPr>
          <w:sz w:val="24"/>
          <w:szCs w:val="24"/>
        </w:rPr>
        <w:t>Inflectra</w:t>
      </w:r>
      <w:proofErr w:type="spellEnd"/>
      <w:r w:rsidRPr="00F044A7">
        <w:rPr>
          <w:sz w:val="24"/>
          <w:szCs w:val="24"/>
        </w:rPr>
        <w:t xml:space="preserve">®, </w:t>
      </w:r>
      <w:proofErr w:type="spellStart"/>
      <w:r w:rsidRPr="00F044A7">
        <w:rPr>
          <w:sz w:val="24"/>
          <w:szCs w:val="24"/>
        </w:rPr>
        <w:t>Zessly</w:t>
      </w:r>
      <w:proofErr w:type="spellEnd"/>
      <w:r w:rsidRPr="00F044A7">
        <w:rPr>
          <w:sz w:val="24"/>
          <w:szCs w:val="24"/>
        </w:rPr>
        <w:t>®)</w:t>
      </w:r>
    </w:p>
    <w:p w14:paraId="5C765B8F" w14:textId="77777777" w:rsidR="00F74E14" w:rsidRPr="00DF3447" w:rsidRDefault="001C086A">
      <w:pPr>
        <w:pStyle w:val="Brdtekst"/>
        <w:ind w:left="112" w:right="114"/>
        <w:jc w:val="both"/>
        <w:rPr>
          <w:lang w:val="da-DK"/>
        </w:rPr>
      </w:pPr>
      <w:proofErr w:type="spellStart"/>
      <w:r w:rsidRPr="00DF3447">
        <w:rPr>
          <w:lang w:val="da-DK"/>
        </w:rPr>
        <w:t>Infliximab</w:t>
      </w:r>
      <w:proofErr w:type="spellEnd"/>
      <w:r w:rsidRPr="00DF3447">
        <w:rPr>
          <w:lang w:val="da-DK"/>
        </w:rPr>
        <w:t xml:space="preserve"> er et </w:t>
      </w:r>
      <w:proofErr w:type="spellStart"/>
      <w:r w:rsidRPr="00DF3447">
        <w:rPr>
          <w:lang w:val="da-DK"/>
        </w:rPr>
        <w:t>kimerisk</w:t>
      </w:r>
      <w:proofErr w:type="spellEnd"/>
      <w:r w:rsidRPr="00DF3447">
        <w:rPr>
          <w:lang w:val="da-DK"/>
        </w:rPr>
        <w:t xml:space="preserve"> (menneske 75%/mus 25%) monoklonalt antistof af typen IgG1 rettet mod TNF. Antistoffet har høj bindings affinitet og specificitet for TNF. </w:t>
      </w:r>
      <w:proofErr w:type="spellStart"/>
      <w:r w:rsidRPr="00DF3447">
        <w:rPr>
          <w:lang w:val="da-DK"/>
        </w:rPr>
        <w:t>Infliximab</w:t>
      </w:r>
      <w:proofErr w:type="spellEnd"/>
      <w:r w:rsidRPr="00DF3447">
        <w:rPr>
          <w:lang w:val="da-DK"/>
        </w:rPr>
        <w:t xml:space="preserve"> danner et stabilt kompleks med alle former af TNF-alfa både opløselig og membranbundne. </w:t>
      </w:r>
      <w:proofErr w:type="spellStart"/>
      <w:r w:rsidRPr="00DF3447">
        <w:rPr>
          <w:lang w:val="da-DK"/>
        </w:rPr>
        <w:t>Infliximab</w:t>
      </w:r>
      <w:proofErr w:type="spellEnd"/>
      <w:r w:rsidRPr="00DF3447">
        <w:rPr>
          <w:lang w:val="da-DK"/>
        </w:rPr>
        <w:t xml:space="preserve"> er registreret til behandling af psoriasis og psoriasis gigt hos voksne.</w:t>
      </w:r>
    </w:p>
    <w:p w14:paraId="43A369D2" w14:textId="77777777" w:rsidR="00F74E14" w:rsidRPr="00DF3447" w:rsidRDefault="00F74E14">
      <w:pPr>
        <w:pStyle w:val="Brdtekst"/>
        <w:spacing w:before="1"/>
        <w:rPr>
          <w:lang w:val="da-DK"/>
        </w:rPr>
      </w:pPr>
    </w:p>
    <w:p w14:paraId="6F1F7434" w14:textId="77777777" w:rsidR="00F74E14" w:rsidRPr="00DF3447" w:rsidRDefault="001C086A">
      <w:pPr>
        <w:ind w:left="112"/>
        <w:jc w:val="both"/>
        <w:rPr>
          <w:sz w:val="24"/>
          <w:szCs w:val="24"/>
          <w:lang w:val="da-DK"/>
        </w:rPr>
      </w:pPr>
      <w:proofErr w:type="spellStart"/>
      <w:r w:rsidRPr="00DF3447">
        <w:rPr>
          <w:b/>
          <w:sz w:val="24"/>
          <w:szCs w:val="24"/>
          <w:lang w:val="da-DK"/>
        </w:rPr>
        <w:t>Adalimumab</w:t>
      </w:r>
      <w:proofErr w:type="spellEnd"/>
      <w:r w:rsidRPr="00DF3447">
        <w:rPr>
          <w:b/>
          <w:sz w:val="24"/>
          <w:szCs w:val="24"/>
          <w:lang w:val="da-DK"/>
        </w:rPr>
        <w:t xml:space="preserve"> </w:t>
      </w:r>
      <w:r w:rsidRPr="00DF3447">
        <w:rPr>
          <w:sz w:val="24"/>
          <w:szCs w:val="24"/>
          <w:lang w:val="da-DK"/>
        </w:rPr>
        <w:t>(</w:t>
      </w:r>
      <w:proofErr w:type="spellStart"/>
      <w:r w:rsidRPr="00DF3447">
        <w:rPr>
          <w:sz w:val="24"/>
          <w:szCs w:val="24"/>
          <w:lang w:val="da-DK"/>
        </w:rPr>
        <w:t>Humira</w:t>
      </w:r>
      <w:proofErr w:type="spellEnd"/>
      <w:r w:rsidRPr="00DF3447">
        <w:rPr>
          <w:sz w:val="24"/>
          <w:szCs w:val="24"/>
          <w:lang w:val="da-DK"/>
        </w:rPr>
        <w:t xml:space="preserve">®, </w:t>
      </w:r>
      <w:proofErr w:type="spellStart"/>
      <w:r w:rsidRPr="00DF3447">
        <w:rPr>
          <w:sz w:val="24"/>
          <w:szCs w:val="24"/>
          <w:lang w:val="da-DK"/>
        </w:rPr>
        <w:t>Hyrimoz</w:t>
      </w:r>
      <w:proofErr w:type="spellEnd"/>
      <w:r w:rsidRPr="00DF3447">
        <w:rPr>
          <w:sz w:val="24"/>
          <w:szCs w:val="24"/>
          <w:lang w:val="da-DK"/>
        </w:rPr>
        <w:t xml:space="preserve">®, </w:t>
      </w:r>
      <w:proofErr w:type="spellStart"/>
      <w:r w:rsidRPr="00DF3447">
        <w:rPr>
          <w:sz w:val="24"/>
          <w:szCs w:val="24"/>
          <w:lang w:val="da-DK"/>
        </w:rPr>
        <w:t>Amgevita</w:t>
      </w:r>
      <w:proofErr w:type="spellEnd"/>
      <w:r w:rsidRPr="00DF3447">
        <w:rPr>
          <w:sz w:val="24"/>
          <w:szCs w:val="24"/>
          <w:lang w:val="da-DK"/>
        </w:rPr>
        <w:t xml:space="preserve">®, </w:t>
      </w:r>
      <w:proofErr w:type="spellStart"/>
      <w:r w:rsidRPr="00DF3447">
        <w:rPr>
          <w:sz w:val="24"/>
          <w:szCs w:val="24"/>
          <w:lang w:val="da-DK"/>
        </w:rPr>
        <w:t>Imraldi</w:t>
      </w:r>
      <w:proofErr w:type="spellEnd"/>
      <w:r w:rsidRPr="00DF3447">
        <w:rPr>
          <w:sz w:val="24"/>
          <w:szCs w:val="24"/>
          <w:lang w:val="da-DK"/>
        </w:rPr>
        <w:t>®)</w:t>
      </w:r>
    </w:p>
    <w:p w14:paraId="24B9E3B5" w14:textId="77777777" w:rsidR="00F74E14" w:rsidRPr="00DF3447" w:rsidRDefault="001C086A">
      <w:pPr>
        <w:pStyle w:val="Brdtekst"/>
        <w:ind w:left="112" w:right="113"/>
        <w:jc w:val="both"/>
        <w:rPr>
          <w:lang w:val="da-DK"/>
        </w:rPr>
      </w:pPr>
      <w:proofErr w:type="spellStart"/>
      <w:r w:rsidRPr="00DF3447">
        <w:rPr>
          <w:lang w:val="da-DK"/>
        </w:rPr>
        <w:t>Adalimumab</w:t>
      </w:r>
      <w:proofErr w:type="spellEnd"/>
      <w:r w:rsidRPr="00DF3447">
        <w:rPr>
          <w:lang w:val="da-DK"/>
        </w:rPr>
        <w:t xml:space="preserve"> er et </w:t>
      </w:r>
      <w:proofErr w:type="spellStart"/>
      <w:r w:rsidRPr="00DF3447">
        <w:rPr>
          <w:lang w:val="da-DK"/>
        </w:rPr>
        <w:t>rekombinant</w:t>
      </w:r>
      <w:proofErr w:type="spellEnd"/>
      <w:r w:rsidRPr="00DF3447">
        <w:rPr>
          <w:lang w:val="da-DK"/>
        </w:rPr>
        <w:t xml:space="preserve"> humant monoklonalt antistof af typen IgG1 rettet mod TNF-alfa. </w:t>
      </w:r>
      <w:proofErr w:type="spellStart"/>
      <w:r w:rsidRPr="00DF3447">
        <w:rPr>
          <w:lang w:val="da-DK"/>
        </w:rPr>
        <w:t>Adalimumab</w:t>
      </w:r>
      <w:proofErr w:type="spellEnd"/>
      <w:r w:rsidRPr="00DF3447">
        <w:rPr>
          <w:lang w:val="da-DK"/>
        </w:rPr>
        <w:t xml:space="preserve"> danner et stabilt kompleks med alle former af TNF-alfa både opløselige og membranbundne. </w:t>
      </w:r>
      <w:proofErr w:type="spellStart"/>
      <w:r w:rsidRPr="00DF3447">
        <w:rPr>
          <w:lang w:val="da-DK"/>
        </w:rPr>
        <w:t>Adalimumab</w:t>
      </w:r>
      <w:proofErr w:type="spellEnd"/>
      <w:r w:rsidRPr="00DF3447">
        <w:rPr>
          <w:lang w:val="da-DK"/>
        </w:rPr>
        <w:t xml:space="preserve"> er registreret til behandling af både psoriasis og psoriasis gigt hos voksne og til psoriasis hos børn fra 4 år.</w:t>
      </w:r>
    </w:p>
    <w:p w14:paraId="0A615120" w14:textId="77777777" w:rsidR="00F74E14" w:rsidRPr="00DF3447" w:rsidRDefault="00F74E14">
      <w:pPr>
        <w:pStyle w:val="Brdtekst"/>
        <w:rPr>
          <w:lang w:val="da-DK"/>
        </w:rPr>
      </w:pPr>
    </w:p>
    <w:p w14:paraId="3B6A54FB" w14:textId="77777777" w:rsidR="00F74E14" w:rsidRPr="00894324" w:rsidRDefault="001C086A" w:rsidP="006C3079">
      <w:pPr>
        <w:rPr>
          <w:b/>
          <w:bCs/>
          <w:sz w:val="24"/>
          <w:szCs w:val="24"/>
          <w:lang w:val="da-DK"/>
        </w:rPr>
      </w:pPr>
      <w:proofErr w:type="spellStart"/>
      <w:r w:rsidRPr="00894324">
        <w:rPr>
          <w:b/>
          <w:bCs/>
          <w:sz w:val="24"/>
          <w:szCs w:val="24"/>
          <w:lang w:val="da-DK"/>
        </w:rPr>
        <w:t>Certolizumab</w:t>
      </w:r>
      <w:proofErr w:type="spellEnd"/>
      <w:r w:rsidRPr="00894324">
        <w:rPr>
          <w:b/>
          <w:bCs/>
          <w:sz w:val="24"/>
          <w:szCs w:val="24"/>
          <w:lang w:val="da-DK"/>
        </w:rPr>
        <w:t xml:space="preserve"> </w:t>
      </w:r>
      <w:proofErr w:type="spellStart"/>
      <w:r w:rsidRPr="00894324">
        <w:rPr>
          <w:b/>
          <w:bCs/>
          <w:sz w:val="24"/>
          <w:szCs w:val="24"/>
          <w:lang w:val="da-DK"/>
        </w:rPr>
        <w:t>pegol</w:t>
      </w:r>
      <w:proofErr w:type="spellEnd"/>
      <w:r w:rsidRPr="00894324">
        <w:rPr>
          <w:b/>
          <w:bCs/>
          <w:sz w:val="24"/>
          <w:szCs w:val="24"/>
          <w:lang w:val="da-DK"/>
        </w:rPr>
        <w:t xml:space="preserve"> (</w:t>
      </w:r>
      <w:proofErr w:type="spellStart"/>
      <w:r w:rsidRPr="00894324">
        <w:rPr>
          <w:b/>
          <w:bCs/>
          <w:sz w:val="24"/>
          <w:szCs w:val="24"/>
          <w:lang w:val="da-DK"/>
        </w:rPr>
        <w:t>Cimzia</w:t>
      </w:r>
      <w:proofErr w:type="spellEnd"/>
      <w:r w:rsidRPr="00894324">
        <w:rPr>
          <w:b/>
          <w:bCs/>
          <w:sz w:val="24"/>
          <w:szCs w:val="24"/>
          <w:lang w:val="da-DK"/>
        </w:rPr>
        <w:t>®)</w:t>
      </w:r>
    </w:p>
    <w:p w14:paraId="0D4D0BD1" w14:textId="77777777" w:rsidR="00F74E14" w:rsidRPr="00DF3447" w:rsidRDefault="001C086A" w:rsidP="006C3079">
      <w:pPr>
        <w:rPr>
          <w:sz w:val="24"/>
          <w:szCs w:val="24"/>
          <w:lang w:val="da-DK"/>
        </w:rPr>
      </w:pPr>
      <w:proofErr w:type="spellStart"/>
      <w:r w:rsidRPr="00DF3447">
        <w:rPr>
          <w:sz w:val="24"/>
          <w:szCs w:val="24"/>
          <w:lang w:val="da-DK"/>
        </w:rPr>
        <w:t>Certolizumab</w:t>
      </w:r>
      <w:proofErr w:type="spellEnd"/>
      <w:r w:rsidRPr="00DF3447">
        <w:rPr>
          <w:sz w:val="24"/>
          <w:szCs w:val="24"/>
          <w:lang w:val="da-DK"/>
        </w:rPr>
        <w:t xml:space="preserve"> </w:t>
      </w:r>
      <w:proofErr w:type="spellStart"/>
      <w:r w:rsidRPr="00DF3447">
        <w:rPr>
          <w:sz w:val="24"/>
          <w:szCs w:val="24"/>
          <w:lang w:val="da-DK"/>
        </w:rPr>
        <w:t>pegol</w:t>
      </w:r>
      <w:proofErr w:type="spellEnd"/>
      <w:r w:rsidRPr="00DF3447">
        <w:rPr>
          <w:sz w:val="24"/>
          <w:szCs w:val="24"/>
          <w:lang w:val="da-DK"/>
        </w:rPr>
        <w:t xml:space="preserve"> er et </w:t>
      </w:r>
      <w:proofErr w:type="spellStart"/>
      <w:r w:rsidRPr="00DF3447">
        <w:rPr>
          <w:sz w:val="24"/>
          <w:szCs w:val="24"/>
          <w:lang w:val="da-DK"/>
        </w:rPr>
        <w:t>rekombinant</w:t>
      </w:r>
      <w:proofErr w:type="spellEnd"/>
      <w:r w:rsidRPr="00DF3447">
        <w:rPr>
          <w:sz w:val="24"/>
          <w:szCs w:val="24"/>
          <w:lang w:val="da-DK"/>
        </w:rPr>
        <w:t xml:space="preserve">, humaniseret antistof </w:t>
      </w:r>
      <w:proofErr w:type="spellStart"/>
      <w:r w:rsidRPr="00DF3447">
        <w:rPr>
          <w:sz w:val="24"/>
          <w:szCs w:val="24"/>
          <w:lang w:val="da-DK"/>
        </w:rPr>
        <w:t>Fab</w:t>
      </w:r>
      <w:proofErr w:type="spellEnd"/>
      <w:r w:rsidRPr="00DF3447">
        <w:rPr>
          <w:sz w:val="24"/>
          <w:szCs w:val="24"/>
          <w:lang w:val="da-DK"/>
        </w:rPr>
        <w:t>'-fragment mod tumornekrosefaktor- alfa (TNF</w:t>
      </w:r>
      <w:r w:rsidRPr="00DF3447">
        <w:rPr>
          <w:sz w:val="24"/>
          <w:szCs w:val="24"/>
        </w:rPr>
        <w:t>α</w:t>
      </w:r>
      <w:r w:rsidRPr="00DF3447">
        <w:rPr>
          <w:sz w:val="24"/>
          <w:szCs w:val="24"/>
          <w:lang w:val="da-DK"/>
        </w:rPr>
        <w:t xml:space="preserve">), som er fremstillet ved ekspression i </w:t>
      </w:r>
      <w:r w:rsidRPr="00DF3447">
        <w:rPr>
          <w:i/>
          <w:sz w:val="24"/>
          <w:szCs w:val="24"/>
          <w:lang w:val="da-DK"/>
        </w:rPr>
        <w:t xml:space="preserve">Escherichia coli </w:t>
      </w:r>
      <w:r w:rsidRPr="00DF3447">
        <w:rPr>
          <w:sz w:val="24"/>
          <w:szCs w:val="24"/>
          <w:lang w:val="da-DK"/>
        </w:rPr>
        <w:t xml:space="preserve">og konjugeret til </w:t>
      </w:r>
      <w:proofErr w:type="spellStart"/>
      <w:r w:rsidRPr="00DF3447">
        <w:rPr>
          <w:sz w:val="24"/>
          <w:szCs w:val="24"/>
          <w:lang w:val="da-DK"/>
        </w:rPr>
        <w:t>polyethylenglycol</w:t>
      </w:r>
      <w:proofErr w:type="spellEnd"/>
      <w:r w:rsidRPr="00DF3447">
        <w:rPr>
          <w:sz w:val="24"/>
          <w:szCs w:val="24"/>
          <w:lang w:val="da-DK"/>
        </w:rPr>
        <w:t xml:space="preserve"> (PEG). </w:t>
      </w:r>
      <w:proofErr w:type="spellStart"/>
      <w:r w:rsidRPr="00DF3447">
        <w:rPr>
          <w:sz w:val="24"/>
          <w:szCs w:val="24"/>
          <w:lang w:val="da-DK"/>
        </w:rPr>
        <w:t>Certolizumab</w:t>
      </w:r>
      <w:proofErr w:type="spellEnd"/>
      <w:r w:rsidRPr="00DF3447">
        <w:rPr>
          <w:sz w:val="24"/>
          <w:szCs w:val="24"/>
          <w:lang w:val="da-DK"/>
        </w:rPr>
        <w:t xml:space="preserve"> </w:t>
      </w:r>
      <w:proofErr w:type="spellStart"/>
      <w:r w:rsidRPr="00DF3447">
        <w:rPr>
          <w:sz w:val="24"/>
          <w:szCs w:val="24"/>
          <w:lang w:val="da-DK"/>
        </w:rPr>
        <w:t>pegol</w:t>
      </w:r>
      <w:proofErr w:type="spellEnd"/>
      <w:r w:rsidRPr="00DF3447">
        <w:rPr>
          <w:sz w:val="24"/>
          <w:szCs w:val="24"/>
          <w:lang w:val="da-DK"/>
        </w:rPr>
        <w:t xml:space="preserve"> er registreret til behandling af både psoriasis og psoriasis gigt hos voksne.</w:t>
      </w:r>
    </w:p>
    <w:p w14:paraId="5FCB0D04" w14:textId="77777777" w:rsidR="00F74E14" w:rsidRPr="00DF3447" w:rsidRDefault="00F74E14">
      <w:pPr>
        <w:pStyle w:val="Brdtekst"/>
        <w:rPr>
          <w:lang w:val="da-DK"/>
        </w:rPr>
      </w:pPr>
    </w:p>
    <w:p w14:paraId="0BBF4639" w14:textId="77777777" w:rsidR="00F74E14" w:rsidRPr="00DF3447" w:rsidRDefault="001C086A">
      <w:pPr>
        <w:ind w:left="112"/>
        <w:rPr>
          <w:sz w:val="24"/>
          <w:szCs w:val="24"/>
          <w:lang w:val="da-DK"/>
        </w:rPr>
      </w:pPr>
      <w:proofErr w:type="spellStart"/>
      <w:r w:rsidRPr="00DF3447">
        <w:rPr>
          <w:b/>
          <w:sz w:val="24"/>
          <w:szCs w:val="24"/>
          <w:lang w:val="da-DK"/>
        </w:rPr>
        <w:t>Ustekinumab</w:t>
      </w:r>
      <w:proofErr w:type="spellEnd"/>
      <w:r w:rsidRPr="00DF3447">
        <w:rPr>
          <w:b/>
          <w:sz w:val="24"/>
          <w:szCs w:val="24"/>
          <w:lang w:val="da-DK"/>
        </w:rPr>
        <w:t xml:space="preserve"> </w:t>
      </w:r>
      <w:r w:rsidRPr="00DF3447">
        <w:rPr>
          <w:sz w:val="24"/>
          <w:szCs w:val="24"/>
          <w:lang w:val="da-DK"/>
        </w:rPr>
        <w:t>(Stelara®)</w:t>
      </w:r>
    </w:p>
    <w:p w14:paraId="43F59E2C" w14:textId="77777777" w:rsidR="00F74E14" w:rsidRPr="00DF3447" w:rsidRDefault="001C086A">
      <w:pPr>
        <w:pStyle w:val="Brdtekst"/>
        <w:ind w:left="112" w:right="310"/>
        <w:rPr>
          <w:lang w:val="da-DK"/>
        </w:rPr>
      </w:pPr>
      <w:proofErr w:type="spellStart"/>
      <w:r w:rsidRPr="00DF3447">
        <w:rPr>
          <w:lang w:val="da-DK"/>
        </w:rPr>
        <w:t>Ustekinumab</w:t>
      </w:r>
      <w:proofErr w:type="spellEnd"/>
      <w:r w:rsidRPr="00DF3447">
        <w:rPr>
          <w:lang w:val="da-DK"/>
        </w:rPr>
        <w:t xml:space="preserve"> er et </w:t>
      </w:r>
      <w:proofErr w:type="spellStart"/>
      <w:r w:rsidRPr="00DF3447">
        <w:rPr>
          <w:lang w:val="da-DK"/>
        </w:rPr>
        <w:t>rekombinant</w:t>
      </w:r>
      <w:proofErr w:type="spellEnd"/>
      <w:r w:rsidRPr="00DF3447">
        <w:rPr>
          <w:lang w:val="da-DK"/>
        </w:rPr>
        <w:t xml:space="preserve"> humant monoklonalt antistof af typen IgG1 rettet mod p40, som er fælles for interleukin-12 og interleukin-23. Specielt interleukin-23 spiller en rolle ved psoriasis ved at stimulere produktionen af primært henholdsvis Th17 lymfocytter.</w:t>
      </w:r>
    </w:p>
    <w:p w14:paraId="40C1D0EE" w14:textId="77777777" w:rsidR="00F74E14" w:rsidRPr="00DF3447" w:rsidRDefault="001C086A">
      <w:pPr>
        <w:pStyle w:val="Brdtekst"/>
        <w:spacing w:before="1"/>
        <w:ind w:left="112"/>
        <w:rPr>
          <w:lang w:val="da-DK"/>
        </w:rPr>
      </w:pPr>
      <w:proofErr w:type="spellStart"/>
      <w:r w:rsidRPr="00DF3447">
        <w:rPr>
          <w:lang w:val="da-DK"/>
        </w:rPr>
        <w:t>Ustekinumab</w:t>
      </w:r>
      <w:proofErr w:type="spellEnd"/>
      <w:r w:rsidRPr="00DF3447">
        <w:rPr>
          <w:lang w:val="da-DK"/>
        </w:rPr>
        <w:t xml:space="preserve"> er registreret til behandling af psoriasis gigt hos voksne og behandling af psoriasis hos voksne og børn over 12 år.</w:t>
      </w:r>
    </w:p>
    <w:p w14:paraId="66791738" w14:textId="77777777" w:rsidR="00F74E14" w:rsidRPr="00DF3447" w:rsidRDefault="00F74E14">
      <w:pPr>
        <w:pStyle w:val="Brdtekst"/>
        <w:spacing w:before="11"/>
        <w:rPr>
          <w:lang w:val="da-DK"/>
        </w:rPr>
      </w:pPr>
    </w:p>
    <w:p w14:paraId="4E7CBA9A" w14:textId="77777777" w:rsidR="00F74E14" w:rsidRPr="00DF3447" w:rsidRDefault="001C086A">
      <w:pPr>
        <w:ind w:left="112"/>
        <w:rPr>
          <w:sz w:val="24"/>
          <w:szCs w:val="24"/>
          <w:lang w:val="da-DK"/>
        </w:rPr>
      </w:pPr>
      <w:proofErr w:type="spellStart"/>
      <w:r w:rsidRPr="00DF3447">
        <w:rPr>
          <w:b/>
          <w:sz w:val="24"/>
          <w:szCs w:val="24"/>
          <w:lang w:val="da-DK"/>
        </w:rPr>
        <w:t>Guselkumab</w:t>
      </w:r>
      <w:proofErr w:type="spellEnd"/>
      <w:r w:rsidRPr="00DF3447">
        <w:rPr>
          <w:b/>
          <w:sz w:val="24"/>
          <w:szCs w:val="24"/>
          <w:lang w:val="da-DK"/>
        </w:rPr>
        <w:t xml:space="preserve"> </w:t>
      </w:r>
      <w:r w:rsidRPr="00DF3447">
        <w:rPr>
          <w:sz w:val="24"/>
          <w:szCs w:val="24"/>
          <w:lang w:val="da-DK"/>
        </w:rPr>
        <w:t>(</w:t>
      </w:r>
      <w:proofErr w:type="spellStart"/>
      <w:r w:rsidRPr="00DF3447">
        <w:rPr>
          <w:sz w:val="24"/>
          <w:szCs w:val="24"/>
          <w:lang w:val="da-DK"/>
        </w:rPr>
        <w:t>Tremfya</w:t>
      </w:r>
      <w:proofErr w:type="spellEnd"/>
      <w:r w:rsidRPr="00DF3447">
        <w:rPr>
          <w:sz w:val="24"/>
          <w:szCs w:val="24"/>
          <w:lang w:val="da-DK"/>
        </w:rPr>
        <w:t>®)</w:t>
      </w:r>
    </w:p>
    <w:p w14:paraId="220F7812" w14:textId="77777777" w:rsidR="00F74E14" w:rsidRPr="00DF3447" w:rsidRDefault="001C086A">
      <w:pPr>
        <w:pStyle w:val="Brdtekst"/>
        <w:spacing w:before="1"/>
        <w:ind w:left="112"/>
        <w:rPr>
          <w:lang w:val="da-DK"/>
        </w:rPr>
      </w:pPr>
      <w:proofErr w:type="spellStart"/>
      <w:r w:rsidRPr="00DF3447">
        <w:rPr>
          <w:lang w:val="da-DK"/>
        </w:rPr>
        <w:t>Guselkumab</w:t>
      </w:r>
      <w:proofErr w:type="spellEnd"/>
      <w:r w:rsidRPr="00DF3447">
        <w:rPr>
          <w:lang w:val="da-DK"/>
        </w:rPr>
        <w:t xml:space="preserve"> er et fuldt humant </w:t>
      </w:r>
      <w:proofErr w:type="spellStart"/>
      <w:r w:rsidRPr="00DF3447">
        <w:rPr>
          <w:lang w:val="da-DK"/>
        </w:rPr>
        <w:t>immunglobulin</w:t>
      </w:r>
      <w:proofErr w:type="spellEnd"/>
      <w:r w:rsidRPr="00DF3447">
        <w:rPr>
          <w:lang w:val="da-DK"/>
        </w:rPr>
        <w:t xml:space="preserve"> G1-lamda (IgG1</w:t>
      </w:r>
      <w:r w:rsidRPr="00DF3447">
        <w:t>λ</w:t>
      </w:r>
      <w:r w:rsidRPr="00DF3447">
        <w:rPr>
          <w:lang w:val="da-DK"/>
        </w:rPr>
        <w:t>) monoklonalt antistof mod IL-23. IL- 23 menes at være et af de primære cytokiner ved psoriasis.</w:t>
      </w:r>
    </w:p>
    <w:p w14:paraId="467E0103" w14:textId="77777777" w:rsidR="00F74E14" w:rsidRPr="00DF3447" w:rsidRDefault="001C086A">
      <w:pPr>
        <w:pStyle w:val="Brdtekst"/>
        <w:ind w:left="112"/>
        <w:rPr>
          <w:lang w:val="da-DK"/>
        </w:rPr>
      </w:pPr>
      <w:proofErr w:type="spellStart"/>
      <w:r w:rsidRPr="00DF3447">
        <w:rPr>
          <w:lang w:val="da-DK"/>
        </w:rPr>
        <w:t>Guselkumab</w:t>
      </w:r>
      <w:proofErr w:type="spellEnd"/>
      <w:r w:rsidRPr="00DF3447">
        <w:rPr>
          <w:lang w:val="da-DK"/>
        </w:rPr>
        <w:t xml:space="preserve"> er kun registreret til behandling af psoriasis hos voksne.</w:t>
      </w:r>
    </w:p>
    <w:p w14:paraId="6AF9ABF3" w14:textId="77777777" w:rsidR="00F74E14" w:rsidRPr="00DF3447" w:rsidRDefault="00F74E14">
      <w:pPr>
        <w:pStyle w:val="Brdtekst"/>
        <w:rPr>
          <w:lang w:val="da-DK"/>
        </w:rPr>
      </w:pPr>
    </w:p>
    <w:p w14:paraId="07467DA5" w14:textId="77777777" w:rsidR="00F74E14" w:rsidRPr="00DF3447" w:rsidRDefault="001C086A">
      <w:pPr>
        <w:ind w:left="112"/>
        <w:rPr>
          <w:sz w:val="24"/>
          <w:szCs w:val="24"/>
          <w:lang w:val="da-DK"/>
        </w:rPr>
      </w:pPr>
      <w:proofErr w:type="spellStart"/>
      <w:r w:rsidRPr="00DF3447">
        <w:rPr>
          <w:b/>
          <w:sz w:val="24"/>
          <w:szCs w:val="24"/>
          <w:lang w:val="da-DK"/>
        </w:rPr>
        <w:t>Secukinumab</w:t>
      </w:r>
      <w:proofErr w:type="spellEnd"/>
      <w:r w:rsidRPr="00DF3447">
        <w:rPr>
          <w:b/>
          <w:sz w:val="24"/>
          <w:szCs w:val="24"/>
          <w:lang w:val="da-DK"/>
        </w:rPr>
        <w:t xml:space="preserve"> </w:t>
      </w:r>
      <w:r w:rsidRPr="00DF3447">
        <w:rPr>
          <w:sz w:val="24"/>
          <w:szCs w:val="24"/>
          <w:lang w:val="da-DK"/>
        </w:rPr>
        <w:t>(</w:t>
      </w:r>
      <w:proofErr w:type="spellStart"/>
      <w:r w:rsidRPr="00DF3447">
        <w:rPr>
          <w:sz w:val="24"/>
          <w:szCs w:val="24"/>
          <w:lang w:val="da-DK"/>
        </w:rPr>
        <w:t>Cosentyx</w:t>
      </w:r>
      <w:proofErr w:type="spellEnd"/>
      <w:r w:rsidRPr="00DF3447">
        <w:rPr>
          <w:sz w:val="24"/>
          <w:szCs w:val="24"/>
          <w:lang w:val="da-DK"/>
        </w:rPr>
        <w:t>®)</w:t>
      </w:r>
    </w:p>
    <w:p w14:paraId="364ED9DD" w14:textId="289F355F" w:rsidR="00F74E14" w:rsidRPr="00DF3447" w:rsidRDefault="001C086A">
      <w:pPr>
        <w:pStyle w:val="Brdtekst"/>
        <w:ind w:left="112" w:right="735"/>
        <w:rPr>
          <w:lang w:val="da-DK"/>
        </w:rPr>
      </w:pPr>
      <w:proofErr w:type="spellStart"/>
      <w:r w:rsidRPr="00DF3447">
        <w:rPr>
          <w:lang w:val="da-DK"/>
        </w:rPr>
        <w:t>Secukinumab</w:t>
      </w:r>
      <w:proofErr w:type="spellEnd"/>
      <w:r w:rsidRPr="00DF3447">
        <w:rPr>
          <w:lang w:val="da-DK"/>
        </w:rPr>
        <w:t xml:space="preserve"> er et humant monoklonalt antistof mod IL-17A. </w:t>
      </w:r>
      <w:proofErr w:type="spellStart"/>
      <w:r w:rsidRPr="00DF3447">
        <w:rPr>
          <w:lang w:val="da-DK"/>
        </w:rPr>
        <w:t>Secukinumab</w:t>
      </w:r>
      <w:proofErr w:type="spellEnd"/>
      <w:r w:rsidRPr="00DF3447">
        <w:rPr>
          <w:lang w:val="da-DK"/>
        </w:rPr>
        <w:t xml:space="preserve"> tilhører IgG1-klassen. </w:t>
      </w:r>
      <w:proofErr w:type="spellStart"/>
      <w:r w:rsidRPr="00DF3447">
        <w:rPr>
          <w:lang w:val="da-DK"/>
        </w:rPr>
        <w:t>Secukinumab</w:t>
      </w:r>
      <w:proofErr w:type="spellEnd"/>
      <w:r w:rsidRPr="00DF3447">
        <w:rPr>
          <w:lang w:val="da-DK"/>
        </w:rPr>
        <w:t xml:space="preserve"> er registreret til behandling af psoriasis</w:t>
      </w:r>
      <w:r w:rsidR="001A04EE" w:rsidRPr="00DF3447">
        <w:rPr>
          <w:lang w:val="da-DK"/>
        </w:rPr>
        <w:t xml:space="preserve"> hos voksne og børn &gt; 6 år </w:t>
      </w:r>
      <w:r w:rsidR="004B7CC0" w:rsidRPr="00DF3447">
        <w:rPr>
          <w:lang w:val="da-DK"/>
        </w:rPr>
        <w:t>samt</w:t>
      </w:r>
      <w:r w:rsidRPr="00DF3447">
        <w:rPr>
          <w:lang w:val="da-DK"/>
        </w:rPr>
        <w:t xml:space="preserve"> psoriasis gigt hos voksne.</w:t>
      </w:r>
    </w:p>
    <w:p w14:paraId="0A08D299" w14:textId="77777777" w:rsidR="00F74E14" w:rsidRPr="00DF3447" w:rsidRDefault="00F74E14">
      <w:pPr>
        <w:pStyle w:val="Brdtekst"/>
        <w:rPr>
          <w:lang w:val="da-DK"/>
        </w:rPr>
      </w:pPr>
    </w:p>
    <w:p w14:paraId="0F83ECDC" w14:textId="77777777" w:rsidR="00F74E14" w:rsidRPr="00DF3447" w:rsidRDefault="001C086A">
      <w:pPr>
        <w:ind w:left="112"/>
        <w:rPr>
          <w:sz w:val="24"/>
          <w:szCs w:val="24"/>
          <w:lang w:val="da-DK"/>
        </w:rPr>
      </w:pPr>
      <w:proofErr w:type="spellStart"/>
      <w:r w:rsidRPr="00DF3447">
        <w:rPr>
          <w:b/>
          <w:sz w:val="24"/>
          <w:szCs w:val="24"/>
          <w:lang w:val="da-DK"/>
        </w:rPr>
        <w:t>Ixekizumab</w:t>
      </w:r>
      <w:proofErr w:type="spellEnd"/>
      <w:r w:rsidRPr="00DF3447">
        <w:rPr>
          <w:b/>
          <w:sz w:val="24"/>
          <w:szCs w:val="24"/>
          <w:lang w:val="da-DK"/>
        </w:rPr>
        <w:t xml:space="preserve"> </w:t>
      </w:r>
      <w:r w:rsidRPr="00DF3447">
        <w:rPr>
          <w:sz w:val="24"/>
          <w:szCs w:val="24"/>
          <w:lang w:val="da-DK"/>
        </w:rPr>
        <w:t>(</w:t>
      </w:r>
      <w:proofErr w:type="spellStart"/>
      <w:r w:rsidRPr="00DF3447">
        <w:rPr>
          <w:sz w:val="24"/>
          <w:szCs w:val="24"/>
          <w:lang w:val="da-DK"/>
        </w:rPr>
        <w:t>Taltz</w:t>
      </w:r>
      <w:proofErr w:type="spellEnd"/>
      <w:r w:rsidRPr="00DF3447">
        <w:rPr>
          <w:sz w:val="24"/>
          <w:szCs w:val="24"/>
          <w:lang w:val="da-DK"/>
        </w:rPr>
        <w:t>®)</w:t>
      </w:r>
    </w:p>
    <w:p w14:paraId="53226D04" w14:textId="732BCB4E" w:rsidR="00F74E14" w:rsidRPr="00DF3447" w:rsidRDefault="001C086A">
      <w:pPr>
        <w:pStyle w:val="Brdtekst"/>
        <w:ind w:left="112" w:right="626"/>
        <w:rPr>
          <w:lang w:val="da-DK"/>
        </w:rPr>
      </w:pPr>
      <w:proofErr w:type="spellStart"/>
      <w:r w:rsidRPr="00DF3447">
        <w:rPr>
          <w:lang w:val="da-DK"/>
        </w:rPr>
        <w:t>Ixekizumab</w:t>
      </w:r>
      <w:proofErr w:type="spellEnd"/>
      <w:r w:rsidRPr="00DF3447">
        <w:rPr>
          <w:lang w:val="da-DK"/>
        </w:rPr>
        <w:t xml:space="preserve"> er et humaniseret monoklonalt antistof mod IL-17A. </w:t>
      </w:r>
      <w:proofErr w:type="spellStart"/>
      <w:r w:rsidRPr="00DF3447">
        <w:rPr>
          <w:lang w:val="da-DK"/>
        </w:rPr>
        <w:t>Ixekizumab</w:t>
      </w:r>
      <w:proofErr w:type="spellEnd"/>
      <w:r w:rsidRPr="00DF3447">
        <w:rPr>
          <w:lang w:val="da-DK"/>
        </w:rPr>
        <w:t xml:space="preserve"> tilhører IgG4-klassen. </w:t>
      </w:r>
      <w:proofErr w:type="spellStart"/>
      <w:r w:rsidRPr="00DF3447">
        <w:rPr>
          <w:lang w:val="da-DK"/>
        </w:rPr>
        <w:t>Ixekizumab</w:t>
      </w:r>
      <w:proofErr w:type="spellEnd"/>
      <w:r w:rsidRPr="00DF3447">
        <w:rPr>
          <w:lang w:val="da-DK"/>
        </w:rPr>
        <w:t xml:space="preserve"> er registreret til behandling af psoriasis </w:t>
      </w:r>
      <w:r w:rsidR="004B7CC0" w:rsidRPr="00DF3447">
        <w:rPr>
          <w:lang w:val="da-DK"/>
        </w:rPr>
        <w:t xml:space="preserve">hos voksne og børn &gt; 6 år </w:t>
      </w:r>
      <w:proofErr w:type="spellStart"/>
      <w:r w:rsidR="004B7CC0" w:rsidRPr="00DF3447">
        <w:rPr>
          <w:lang w:val="da-DK"/>
        </w:rPr>
        <w:t>samt</w:t>
      </w:r>
      <w:r w:rsidRPr="00DF3447">
        <w:rPr>
          <w:lang w:val="da-DK"/>
        </w:rPr>
        <w:t>psoriasis</w:t>
      </w:r>
      <w:proofErr w:type="spellEnd"/>
      <w:r w:rsidRPr="00DF3447">
        <w:rPr>
          <w:lang w:val="da-DK"/>
        </w:rPr>
        <w:t xml:space="preserve"> gigt hos voksne.</w:t>
      </w:r>
    </w:p>
    <w:p w14:paraId="6ABD1C06" w14:textId="77777777" w:rsidR="00F74E14" w:rsidRPr="00DF3447" w:rsidRDefault="00F74E14">
      <w:pPr>
        <w:pStyle w:val="Brdtekst"/>
        <w:rPr>
          <w:lang w:val="da-DK"/>
        </w:rPr>
      </w:pPr>
    </w:p>
    <w:p w14:paraId="73E90FC2" w14:textId="77777777" w:rsidR="00F74E14" w:rsidRPr="00DF3447" w:rsidRDefault="001C086A">
      <w:pPr>
        <w:spacing w:line="275" w:lineRule="exact"/>
        <w:ind w:left="112"/>
        <w:rPr>
          <w:sz w:val="24"/>
          <w:szCs w:val="24"/>
          <w:lang w:val="da-DK"/>
        </w:rPr>
      </w:pPr>
      <w:proofErr w:type="spellStart"/>
      <w:r w:rsidRPr="00DF3447">
        <w:rPr>
          <w:b/>
          <w:sz w:val="24"/>
          <w:szCs w:val="24"/>
          <w:lang w:val="da-DK"/>
        </w:rPr>
        <w:t>Brodalumab</w:t>
      </w:r>
      <w:proofErr w:type="spellEnd"/>
      <w:r w:rsidRPr="00DF3447">
        <w:rPr>
          <w:b/>
          <w:sz w:val="24"/>
          <w:szCs w:val="24"/>
          <w:lang w:val="da-DK"/>
        </w:rPr>
        <w:t xml:space="preserve"> </w:t>
      </w:r>
      <w:r w:rsidRPr="00DF3447">
        <w:rPr>
          <w:sz w:val="24"/>
          <w:szCs w:val="24"/>
          <w:lang w:val="da-DK"/>
        </w:rPr>
        <w:t>(</w:t>
      </w:r>
      <w:proofErr w:type="spellStart"/>
      <w:r w:rsidRPr="00DF3447">
        <w:rPr>
          <w:sz w:val="24"/>
          <w:szCs w:val="24"/>
          <w:lang w:val="da-DK"/>
        </w:rPr>
        <w:t>Kyntheum</w:t>
      </w:r>
      <w:proofErr w:type="spellEnd"/>
      <w:r w:rsidRPr="00DF3447">
        <w:rPr>
          <w:sz w:val="24"/>
          <w:szCs w:val="24"/>
          <w:lang w:val="da-DK"/>
        </w:rPr>
        <w:t>®)</w:t>
      </w:r>
    </w:p>
    <w:p w14:paraId="4F0E6FCD" w14:textId="72236040" w:rsidR="00F74E14" w:rsidRPr="00DF3447" w:rsidRDefault="001C086A">
      <w:pPr>
        <w:pStyle w:val="Brdtekst"/>
        <w:ind w:left="112" w:right="283"/>
        <w:rPr>
          <w:lang w:val="da-DK"/>
        </w:rPr>
      </w:pPr>
      <w:proofErr w:type="spellStart"/>
      <w:r w:rsidRPr="00DF3447">
        <w:rPr>
          <w:lang w:val="da-DK"/>
        </w:rPr>
        <w:t>Brodalumab</w:t>
      </w:r>
      <w:proofErr w:type="spellEnd"/>
      <w:r w:rsidRPr="00DF3447">
        <w:rPr>
          <w:lang w:val="da-DK"/>
        </w:rPr>
        <w:t xml:space="preserve"> er et fuldt humant monoklonalt </w:t>
      </w:r>
      <w:proofErr w:type="spellStart"/>
      <w:r w:rsidRPr="00DF3447">
        <w:rPr>
          <w:lang w:val="da-DK"/>
        </w:rPr>
        <w:t>immunoglobulin</w:t>
      </w:r>
      <w:proofErr w:type="spellEnd"/>
      <w:r w:rsidRPr="00DF3447">
        <w:rPr>
          <w:lang w:val="da-DK"/>
        </w:rPr>
        <w:t xml:space="preserve"> IgG2-antistof, der med høj </w:t>
      </w:r>
      <w:r w:rsidRPr="00DF3447">
        <w:rPr>
          <w:lang w:val="da-DK"/>
        </w:rPr>
        <w:lastRenderedPageBreak/>
        <w:t xml:space="preserve">affinitet binder sig til humant IL-17RA og blokerer den biologiske aktivitet i de proinflammatoriske cytokiner IL-17A, IL-17F, IL-17A/F heterodimer, IL-17C og IL-25. </w:t>
      </w:r>
      <w:proofErr w:type="spellStart"/>
      <w:r w:rsidRPr="00DF3447">
        <w:rPr>
          <w:lang w:val="da-DK"/>
        </w:rPr>
        <w:t>Brodalumab</w:t>
      </w:r>
      <w:proofErr w:type="spellEnd"/>
      <w:r w:rsidRPr="00DF3447">
        <w:rPr>
          <w:lang w:val="da-DK"/>
        </w:rPr>
        <w:t xml:space="preserve"> er registreret til behandling af psoriasis hos voksne.</w:t>
      </w:r>
    </w:p>
    <w:p w14:paraId="77E3DBB8" w14:textId="77777777" w:rsidR="00CD46D7" w:rsidRPr="00DF3447" w:rsidRDefault="00CD46D7">
      <w:pPr>
        <w:pStyle w:val="Brdtekst"/>
        <w:ind w:left="112" w:right="283"/>
        <w:rPr>
          <w:lang w:val="da-DK"/>
        </w:rPr>
      </w:pPr>
    </w:p>
    <w:p w14:paraId="7B711049" w14:textId="77777777" w:rsidR="00CD46D7" w:rsidRPr="00DF3447" w:rsidRDefault="00CD46D7">
      <w:pPr>
        <w:pStyle w:val="Brdtekst"/>
        <w:ind w:left="112" w:right="283"/>
        <w:rPr>
          <w:lang w:val="da-DK"/>
        </w:rPr>
      </w:pPr>
      <w:proofErr w:type="spellStart"/>
      <w:r w:rsidRPr="00DF3447">
        <w:rPr>
          <w:b/>
          <w:bCs/>
          <w:lang w:val="da-DK"/>
        </w:rPr>
        <w:t>Tildrakizumab</w:t>
      </w:r>
      <w:proofErr w:type="spellEnd"/>
      <w:r w:rsidRPr="00DF3447">
        <w:rPr>
          <w:lang w:val="da-DK"/>
        </w:rPr>
        <w:t xml:space="preserve"> (</w:t>
      </w:r>
      <w:proofErr w:type="spellStart"/>
      <w:r w:rsidRPr="00DF3447">
        <w:rPr>
          <w:lang w:val="da-DK"/>
        </w:rPr>
        <w:t>Ilumetri</w:t>
      </w:r>
      <w:proofErr w:type="spellEnd"/>
      <w:r w:rsidRPr="00DF3447">
        <w:rPr>
          <w:lang w:val="da-DK"/>
        </w:rPr>
        <w:t>®)</w:t>
      </w:r>
    </w:p>
    <w:p w14:paraId="3B8AB6D5" w14:textId="77777777" w:rsidR="001A04EE" w:rsidRPr="00DF3447" w:rsidRDefault="001A04EE" w:rsidP="001A04EE">
      <w:pPr>
        <w:pStyle w:val="Brdtekst"/>
        <w:ind w:left="112" w:right="283"/>
        <w:rPr>
          <w:lang w:val="da-DK"/>
        </w:rPr>
      </w:pPr>
      <w:proofErr w:type="spellStart"/>
      <w:r w:rsidRPr="00DF3447">
        <w:rPr>
          <w:lang w:val="da-DK"/>
        </w:rPr>
        <w:t>Tildrakizumab</w:t>
      </w:r>
      <w:proofErr w:type="spellEnd"/>
      <w:r w:rsidRPr="00DF3447">
        <w:rPr>
          <w:lang w:val="da-DK"/>
        </w:rPr>
        <w:t xml:space="preserve"> er et humaniseret monoklonalt IgG1/k antistof mod IL-23. </w:t>
      </w:r>
      <w:proofErr w:type="spellStart"/>
      <w:r w:rsidRPr="00DF3447">
        <w:rPr>
          <w:lang w:val="da-DK"/>
        </w:rPr>
        <w:t>Tildrakizumab</w:t>
      </w:r>
      <w:proofErr w:type="spellEnd"/>
      <w:r w:rsidRPr="00DF3447">
        <w:rPr>
          <w:lang w:val="da-DK"/>
        </w:rPr>
        <w:t xml:space="preserve"> er registreret til behandling af psoriasis hos voksne.</w:t>
      </w:r>
    </w:p>
    <w:p w14:paraId="5394DC06" w14:textId="77777777" w:rsidR="001A04EE" w:rsidRPr="00DF3447" w:rsidRDefault="001A04EE" w:rsidP="001A04EE">
      <w:pPr>
        <w:pStyle w:val="Brdtekst"/>
        <w:ind w:left="112" w:right="283"/>
        <w:rPr>
          <w:lang w:val="da-DK"/>
        </w:rPr>
      </w:pPr>
    </w:p>
    <w:p w14:paraId="10C9B96F" w14:textId="77777777" w:rsidR="001A04EE" w:rsidRPr="00DF3447" w:rsidRDefault="001A04EE" w:rsidP="001A04EE">
      <w:pPr>
        <w:pStyle w:val="Brdtekst"/>
        <w:ind w:left="112" w:right="283"/>
        <w:rPr>
          <w:lang w:val="da-DK"/>
        </w:rPr>
      </w:pPr>
      <w:proofErr w:type="spellStart"/>
      <w:r w:rsidRPr="00DF3447">
        <w:rPr>
          <w:b/>
          <w:bCs/>
          <w:lang w:val="da-DK"/>
        </w:rPr>
        <w:t>Risankizumab</w:t>
      </w:r>
      <w:proofErr w:type="spellEnd"/>
      <w:r w:rsidRPr="00DF3447">
        <w:rPr>
          <w:b/>
          <w:bCs/>
          <w:lang w:val="da-DK"/>
        </w:rPr>
        <w:t xml:space="preserve"> </w:t>
      </w:r>
      <w:r w:rsidRPr="00DF3447">
        <w:rPr>
          <w:lang w:val="da-DK"/>
        </w:rPr>
        <w:t>(</w:t>
      </w:r>
      <w:proofErr w:type="spellStart"/>
      <w:r w:rsidRPr="00DF3447">
        <w:rPr>
          <w:lang w:val="da-DK"/>
        </w:rPr>
        <w:t>Skyrizi</w:t>
      </w:r>
      <w:proofErr w:type="spellEnd"/>
      <w:r w:rsidRPr="00DF3447">
        <w:rPr>
          <w:lang w:val="da-DK"/>
        </w:rPr>
        <w:t xml:space="preserve">®) er et humaniseret monoklonalt </w:t>
      </w:r>
      <w:proofErr w:type="spellStart"/>
      <w:r w:rsidRPr="00DF3447">
        <w:rPr>
          <w:lang w:val="da-DK"/>
        </w:rPr>
        <w:t>immunglobulin</w:t>
      </w:r>
      <w:proofErr w:type="spellEnd"/>
      <w:r w:rsidRPr="00DF3447">
        <w:rPr>
          <w:lang w:val="da-DK"/>
        </w:rPr>
        <w:t xml:space="preserve"> G1 (IgG</w:t>
      </w:r>
      <w:proofErr w:type="gramStart"/>
      <w:r w:rsidRPr="00DF3447">
        <w:rPr>
          <w:lang w:val="da-DK"/>
        </w:rPr>
        <w:t>1)-</w:t>
      </w:r>
      <w:proofErr w:type="gramEnd"/>
      <w:r w:rsidRPr="00DF3447">
        <w:rPr>
          <w:lang w:val="da-DK"/>
        </w:rPr>
        <w:t xml:space="preserve">antistof mod proteinet I)-23. </w:t>
      </w:r>
      <w:proofErr w:type="spellStart"/>
      <w:r w:rsidRPr="00DF3447">
        <w:rPr>
          <w:lang w:val="da-DK"/>
        </w:rPr>
        <w:t>Risankizumab</w:t>
      </w:r>
      <w:proofErr w:type="spellEnd"/>
      <w:r w:rsidRPr="00DF3447">
        <w:rPr>
          <w:lang w:val="da-DK"/>
        </w:rPr>
        <w:t xml:space="preserve"> er registreret til behandling af psoriasis hos voksne.</w:t>
      </w:r>
    </w:p>
    <w:p w14:paraId="25DB9657" w14:textId="77777777" w:rsidR="001A04EE" w:rsidRPr="00DF3447" w:rsidRDefault="001A04EE" w:rsidP="001A04EE">
      <w:pPr>
        <w:pStyle w:val="Brdtekst"/>
        <w:ind w:left="112" w:right="283"/>
        <w:rPr>
          <w:lang w:val="da-DK"/>
        </w:rPr>
      </w:pPr>
    </w:p>
    <w:p w14:paraId="7423583A" w14:textId="77777777" w:rsidR="00F74E14" w:rsidRPr="00DF3447" w:rsidRDefault="00F74E14">
      <w:pPr>
        <w:pStyle w:val="Brdtekst"/>
        <w:spacing w:before="11"/>
        <w:rPr>
          <w:lang w:val="da-DK"/>
        </w:rPr>
      </w:pPr>
    </w:p>
    <w:p w14:paraId="0AFC93FF" w14:textId="77777777" w:rsidR="00F74E14" w:rsidRPr="00DF3447" w:rsidRDefault="001C086A">
      <w:pPr>
        <w:ind w:left="112"/>
        <w:rPr>
          <w:sz w:val="24"/>
          <w:szCs w:val="24"/>
          <w:lang w:val="da-DK"/>
        </w:rPr>
      </w:pPr>
      <w:proofErr w:type="spellStart"/>
      <w:r w:rsidRPr="00DF3447">
        <w:rPr>
          <w:b/>
          <w:sz w:val="24"/>
          <w:szCs w:val="24"/>
          <w:lang w:val="da-DK"/>
        </w:rPr>
        <w:t>Apremilast</w:t>
      </w:r>
      <w:proofErr w:type="spellEnd"/>
      <w:r w:rsidRPr="00DF3447">
        <w:rPr>
          <w:b/>
          <w:sz w:val="24"/>
          <w:szCs w:val="24"/>
          <w:lang w:val="da-DK"/>
        </w:rPr>
        <w:t xml:space="preserve"> </w:t>
      </w:r>
      <w:r w:rsidRPr="00DF3447">
        <w:rPr>
          <w:sz w:val="24"/>
          <w:szCs w:val="24"/>
          <w:lang w:val="da-DK"/>
        </w:rPr>
        <w:t>(</w:t>
      </w:r>
      <w:proofErr w:type="spellStart"/>
      <w:r w:rsidRPr="00DF3447">
        <w:rPr>
          <w:sz w:val="24"/>
          <w:szCs w:val="24"/>
          <w:lang w:val="da-DK"/>
        </w:rPr>
        <w:t>Otezla</w:t>
      </w:r>
      <w:proofErr w:type="spellEnd"/>
      <w:r w:rsidRPr="00DF3447">
        <w:rPr>
          <w:sz w:val="24"/>
          <w:szCs w:val="24"/>
          <w:lang w:val="da-DK"/>
        </w:rPr>
        <w:t>®)</w:t>
      </w:r>
    </w:p>
    <w:p w14:paraId="16C658E8" w14:textId="77777777" w:rsidR="00F74E14" w:rsidRPr="00DF3447" w:rsidRDefault="001C086A">
      <w:pPr>
        <w:pStyle w:val="Brdtekst"/>
        <w:ind w:left="112" w:right="238"/>
        <w:rPr>
          <w:lang w:val="da-DK"/>
        </w:rPr>
      </w:pPr>
      <w:proofErr w:type="spellStart"/>
      <w:r w:rsidRPr="00DF3447">
        <w:rPr>
          <w:lang w:val="da-DK"/>
        </w:rPr>
        <w:t>Apremilast</w:t>
      </w:r>
      <w:proofErr w:type="spellEnd"/>
      <w:r w:rsidRPr="00DF3447">
        <w:rPr>
          <w:lang w:val="da-DK"/>
        </w:rPr>
        <w:t xml:space="preserve"> er et lille molekyle, der virker intracellulært ved at hæmme enzymet </w:t>
      </w:r>
      <w:proofErr w:type="spellStart"/>
      <w:r w:rsidRPr="00DF3447">
        <w:rPr>
          <w:lang w:val="da-DK"/>
        </w:rPr>
        <w:t>phosphodiesterase</w:t>
      </w:r>
      <w:proofErr w:type="spellEnd"/>
      <w:r w:rsidRPr="00DF3447">
        <w:rPr>
          <w:lang w:val="da-DK"/>
        </w:rPr>
        <w:t xml:space="preserve"> 4 (PDE4). Hæmningen af PDE4 forhøjer det intracellulære </w:t>
      </w:r>
      <w:proofErr w:type="spellStart"/>
      <w:r w:rsidRPr="00DF3447">
        <w:rPr>
          <w:lang w:val="da-DK"/>
        </w:rPr>
        <w:t>cAMP</w:t>
      </w:r>
      <w:proofErr w:type="spellEnd"/>
      <w:r w:rsidRPr="00DF3447">
        <w:rPr>
          <w:lang w:val="da-DK"/>
        </w:rPr>
        <w:t>-niveau, hvilket nedregulerer det inflammatoriske respons ved at modulere ekspressionen af TNF-</w:t>
      </w:r>
      <w:r w:rsidRPr="00DF3447">
        <w:t>α</w:t>
      </w:r>
      <w:r w:rsidRPr="00DF3447">
        <w:rPr>
          <w:lang w:val="da-DK"/>
        </w:rPr>
        <w:t xml:space="preserve">, IL-23, IL-17 og andre pro- og anti- inflammatoriske cytokiner. </w:t>
      </w:r>
      <w:proofErr w:type="spellStart"/>
      <w:r w:rsidRPr="00DF3447">
        <w:rPr>
          <w:lang w:val="da-DK"/>
        </w:rPr>
        <w:t>Apremilast</w:t>
      </w:r>
      <w:proofErr w:type="spellEnd"/>
      <w:r w:rsidRPr="00DF3447">
        <w:rPr>
          <w:lang w:val="da-DK"/>
        </w:rPr>
        <w:t xml:space="preserve"> er registreret til behandling af psoriasis og psoriasis gigt hos voksne.</w:t>
      </w:r>
    </w:p>
    <w:p w14:paraId="524D89C2" w14:textId="77777777" w:rsidR="00F74E14" w:rsidRPr="00DF3447" w:rsidRDefault="00F74E14">
      <w:pPr>
        <w:pStyle w:val="Brdtekst"/>
        <w:rPr>
          <w:lang w:val="da-DK"/>
        </w:rPr>
      </w:pPr>
    </w:p>
    <w:p w14:paraId="03AAAA47" w14:textId="77777777" w:rsidR="00F74E14" w:rsidRPr="00DF3447" w:rsidRDefault="001C086A">
      <w:pPr>
        <w:spacing w:before="1"/>
        <w:ind w:left="112"/>
        <w:rPr>
          <w:sz w:val="24"/>
          <w:szCs w:val="24"/>
          <w:lang w:val="da-DK"/>
        </w:rPr>
      </w:pPr>
      <w:proofErr w:type="spellStart"/>
      <w:r w:rsidRPr="00DF3447">
        <w:rPr>
          <w:b/>
          <w:sz w:val="24"/>
          <w:szCs w:val="24"/>
          <w:lang w:val="da-DK"/>
        </w:rPr>
        <w:t>Dimethylfumarat</w:t>
      </w:r>
      <w:proofErr w:type="spellEnd"/>
      <w:r w:rsidRPr="00DF3447">
        <w:rPr>
          <w:b/>
          <w:sz w:val="24"/>
          <w:szCs w:val="24"/>
          <w:lang w:val="da-DK"/>
        </w:rPr>
        <w:t xml:space="preserve"> </w:t>
      </w:r>
      <w:r w:rsidRPr="00DF3447">
        <w:rPr>
          <w:sz w:val="24"/>
          <w:szCs w:val="24"/>
          <w:lang w:val="da-DK"/>
        </w:rPr>
        <w:t>(</w:t>
      </w:r>
      <w:proofErr w:type="spellStart"/>
      <w:r w:rsidRPr="00DF3447">
        <w:rPr>
          <w:sz w:val="24"/>
          <w:szCs w:val="24"/>
          <w:lang w:val="da-DK"/>
        </w:rPr>
        <w:t>Skilarence</w:t>
      </w:r>
      <w:proofErr w:type="spellEnd"/>
      <w:r w:rsidRPr="00DF3447">
        <w:rPr>
          <w:sz w:val="24"/>
          <w:szCs w:val="24"/>
          <w:lang w:val="da-DK"/>
        </w:rPr>
        <w:t>®)</w:t>
      </w:r>
    </w:p>
    <w:p w14:paraId="45530E41" w14:textId="77777777" w:rsidR="00F74E14" w:rsidRPr="00DF3447" w:rsidRDefault="001C086A">
      <w:pPr>
        <w:pStyle w:val="Brdtekst"/>
        <w:ind w:left="112" w:right="151"/>
        <w:rPr>
          <w:lang w:val="da-DK"/>
        </w:rPr>
      </w:pPr>
      <w:proofErr w:type="spellStart"/>
      <w:r w:rsidRPr="00DF3447">
        <w:rPr>
          <w:lang w:val="da-DK"/>
        </w:rPr>
        <w:t>Dimethylfumarat</w:t>
      </w:r>
      <w:proofErr w:type="spellEnd"/>
      <w:r w:rsidRPr="00DF3447">
        <w:rPr>
          <w:lang w:val="da-DK"/>
        </w:rPr>
        <w:t xml:space="preserve"> og dets metabolit </w:t>
      </w:r>
      <w:proofErr w:type="spellStart"/>
      <w:r w:rsidRPr="00DF3447">
        <w:rPr>
          <w:lang w:val="da-DK"/>
        </w:rPr>
        <w:t>monomethylfumarat</w:t>
      </w:r>
      <w:proofErr w:type="spellEnd"/>
      <w:r w:rsidRPr="00DF3447">
        <w:rPr>
          <w:lang w:val="da-DK"/>
        </w:rPr>
        <w:t xml:space="preserve"> har en anti-inflammatoriske og immunmodulerende virkninger som menes at skyldes interaktionen med den intracellulære reducerede </w:t>
      </w:r>
      <w:proofErr w:type="spellStart"/>
      <w:r w:rsidRPr="00DF3447">
        <w:rPr>
          <w:lang w:val="da-DK"/>
        </w:rPr>
        <w:t>glutathion</w:t>
      </w:r>
      <w:proofErr w:type="spellEnd"/>
      <w:r w:rsidRPr="00DF3447">
        <w:rPr>
          <w:lang w:val="da-DK"/>
        </w:rPr>
        <w:t xml:space="preserve"> i celler, der direkte indgår i patogenesen af psoriasis. Denne interaktion med </w:t>
      </w:r>
      <w:proofErr w:type="spellStart"/>
      <w:r w:rsidRPr="00DF3447">
        <w:rPr>
          <w:lang w:val="da-DK"/>
        </w:rPr>
        <w:t>glutathion</w:t>
      </w:r>
      <w:proofErr w:type="spellEnd"/>
      <w:r w:rsidRPr="00DF3447">
        <w:rPr>
          <w:lang w:val="da-DK"/>
        </w:rPr>
        <w:t xml:space="preserve"> fører til hæmning af translokation til kernen og den </w:t>
      </w:r>
      <w:proofErr w:type="spellStart"/>
      <w:r w:rsidRPr="00DF3447">
        <w:rPr>
          <w:lang w:val="da-DK"/>
        </w:rPr>
        <w:t>transkriptionelle</w:t>
      </w:r>
      <w:proofErr w:type="spellEnd"/>
      <w:r w:rsidRPr="00DF3447">
        <w:rPr>
          <w:lang w:val="da-DK"/>
        </w:rPr>
        <w:t xml:space="preserve"> aktivitet af NF-</w:t>
      </w:r>
      <w:r w:rsidRPr="00DF3447">
        <w:t>κ</w:t>
      </w:r>
      <w:r w:rsidRPr="00DF3447">
        <w:rPr>
          <w:lang w:val="da-DK"/>
        </w:rPr>
        <w:t xml:space="preserve">B. </w:t>
      </w:r>
      <w:proofErr w:type="spellStart"/>
      <w:r w:rsidRPr="00DF3447">
        <w:rPr>
          <w:lang w:val="da-DK"/>
        </w:rPr>
        <w:t>Dimethylfumarat</w:t>
      </w:r>
      <w:proofErr w:type="spellEnd"/>
      <w:r w:rsidRPr="00DF3447">
        <w:rPr>
          <w:lang w:val="da-DK"/>
        </w:rPr>
        <w:t xml:space="preserve"> er registreret til behandling af psoriasis hos voksne.</w:t>
      </w:r>
    </w:p>
    <w:p w14:paraId="1E56B0C0" w14:textId="77777777" w:rsidR="00F74E14" w:rsidRPr="00DF3447" w:rsidRDefault="00F74E14">
      <w:pPr>
        <w:pStyle w:val="Brdtekst"/>
        <w:spacing w:before="11"/>
        <w:rPr>
          <w:lang w:val="da-DK"/>
        </w:rPr>
      </w:pPr>
    </w:p>
    <w:p w14:paraId="7EC7871E" w14:textId="2E951037" w:rsidR="00F74E14" w:rsidRPr="00DF3447" w:rsidRDefault="001C086A" w:rsidP="006C3079">
      <w:pPr>
        <w:pStyle w:val="Listeafsnit"/>
        <w:numPr>
          <w:ilvl w:val="0"/>
          <w:numId w:val="2"/>
        </w:numPr>
        <w:rPr>
          <w:b/>
          <w:bCs/>
          <w:sz w:val="24"/>
          <w:szCs w:val="24"/>
          <w:lang w:val="da-DK"/>
        </w:rPr>
      </w:pPr>
      <w:r w:rsidRPr="00DF3447">
        <w:rPr>
          <w:b/>
          <w:bCs/>
          <w:sz w:val="24"/>
          <w:szCs w:val="24"/>
          <w:lang w:val="da-DK"/>
        </w:rPr>
        <w:t>Behandlingsvalg</w:t>
      </w:r>
    </w:p>
    <w:p w14:paraId="31097A82" w14:textId="73627F34" w:rsidR="00F74E14" w:rsidRPr="00DF3447" w:rsidRDefault="001C086A" w:rsidP="006C3079">
      <w:pPr>
        <w:rPr>
          <w:sz w:val="24"/>
          <w:szCs w:val="24"/>
          <w:lang w:val="da-DK"/>
        </w:rPr>
      </w:pPr>
      <w:r w:rsidRPr="00DF3447">
        <w:rPr>
          <w:sz w:val="24"/>
          <w:szCs w:val="24"/>
          <w:lang w:val="da-DK"/>
        </w:rPr>
        <w:t xml:space="preserve">Alle lægemidler i denne guideline er registreret til behandling af patienter med moderat til svær psoriasis. </w:t>
      </w:r>
      <w:r w:rsidRPr="00894324">
        <w:rPr>
          <w:sz w:val="24"/>
          <w:szCs w:val="24"/>
          <w:lang w:val="da-DK"/>
        </w:rPr>
        <w:t>For nogle lægemidler kræves i registreringen at patienterne har forsøgt standard systemisk behandling.</w:t>
      </w:r>
      <w:r w:rsidRPr="00DF3447">
        <w:rPr>
          <w:sz w:val="24"/>
          <w:szCs w:val="24"/>
          <w:lang w:val="da-DK"/>
        </w:rPr>
        <w:t xml:space="preserve"> Dette gælder for </w:t>
      </w:r>
      <w:proofErr w:type="spellStart"/>
      <w:r w:rsidRPr="00DF3447">
        <w:rPr>
          <w:sz w:val="24"/>
          <w:szCs w:val="24"/>
          <w:lang w:val="da-DK"/>
        </w:rPr>
        <w:t>infliximab</w:t>
      </w:r>
      <w:proofErr w:type="spellEnd"/>
      <w:r w:rsidRPr="00DF3447">
        <w:rPr>
          <w:sz w:val="24"/>
          <w:szCs w:val="24"/>
          <w:lang w:val="da-DK"/>
        </w:rPr>
        <w:t xml:space="preserve">, </w:t>
      </w:r>
      <w:proofErr w:type="spellStart"/>
      <w:r w:rsidRPr="00DF3447">
        <w:rPr>
          <w:sz w:val="24"/>
          <w:szCs w:val="24"/>
          <w:lang w:val="da-DK"/>
        </w:rPr>
        <w:t>et</w:t>
      </w:r>
      <w:r w:rsidR="001E1BB8">
        <w:rPr>
          <w:sz w:val="24"/>
          <w:szCs w:val="24"/>
          <w:lang w:val="da-DK"/>
        </w:rPr>
        <w:t>aner</w:t>
      </w:r>
      <w:r w:rsidRPr="00DF3447">
        <w:rPr>
          <w:sz w:val="24"/>
          <w:szCs w:val="24"/>
          <w:lang w:val="da-DK"/>
        </w:rPr>
        <w:t>cept</w:t>
      </w:r>
      <w:proofErr w:type="spellEnd"/>
      <w:r w:rsidRPr="00DF3447">
        <w:rPr>
          <w:sz w:val="24"/>
          <w:szCs w:val="24"/>
          <w:lang w:val="da-DK"/>
        </w:rPr>
        <w:t xml:space="preserve">, </w:t>
      </w:r>
      <w:proofErr w:type="spellStart"/>
      <w:r w:rsidRPr="00DF3447">
        <w:rPr>
          <w:sz w:val="24"/>
          <w:szCs w:val="24"/>
          <w:lang w:val="da-DK"/>
        </w:rPr>
        <w:t>adalimumab</w:t>
      </w:r>
      <w:proofErr w:type="spellEnd"/>
      <w:r w:rsidRPr="00DF3447">
        <w:rPr>
          <w:sz w:val="24"/>
          <w:szCs w:val="24"/>
          <w:lang w:val="da-DK"/>
        </w:rPr>
        <w:t xml:space="preserve">, </w:t>
      </w:r>
      <w:proofErr w:type="spellStart"/>
      <w:r w:rsidRPr="00DF3447">
        <w:rPr>
          <w:sz w:val="24"/>
          <w:szCs w:val="24"/>
          <w:lang w:val="da-DK"/>
        </w:rPr>
        <w:t>apremilast</w:t>
      </w:r>
      <w:proofErr w:type="spellEnd"/>
      <w:r w:rsidRPr="00DF3447">
        <w:rPr>
          <w:sz w:val="24"/>
          <w:szCs w:val="24"/>
          <w:lang w:val="da-DK"/>
        </w:rPr>
        <w:t xml:space="preserve"> og </w:t>
      </w:r>
      <w:proofErr w:type="spellStart"/>
      <w:r w:rsidRPr="00DF3447">
        <w:rPr>
          <w:sz w:val="24"/>
          <w:szCs w:val="24"/>
          <w:lang w:val="da-DK"/>
        </w:rPr>
        <w:t>ustekinumab</w:t>
      </w:r>
      <w:proofErr w:type="spellEnd"/>
      <w:r w:rsidRPr="00DF3447">
        <w:rPr>
          <w:sz w:val="24"/>
          <w:szCs w:val="24"/>
          <w:lang w:val="da-DK"/>
        </w:rPr>
        <w:t xml:space="preserve">. For </w:t>
      </w:r>
      <w:proofErr w:type="spellStart"/>
      <w:r w:rsidRPr="00DF3447">
        <w:rPr>
          <w:sz w:val="24"/>
          <w:szCs w:val="24"/>
          <w:lang w:val="da-DK"/>
        </w:rPr>
        <w:t>certolizumab</w:t>
      </w:r>
      <w:proofErr w:type="spellEnd"/>
      <w:r w:rsidRPr="00DF3447">
        <w:rPr>
          <w:sz w:val="24"/>
          <w:szCs w:val="24"/>
          <w:lang w:val="da-DK"/>
        </w:rPr>
        <w:t xml:space="preserve"> </w:t>
      </w:r>
      <w:proofErr w:type="spellStart"/>
      <w:r w:rsidRPr="00DF3447">
        <w:rPr>
          <w:sz w:val="24"/>
          <w:szCs w:val="24"/>
          <w:lang w:val="da-DK"/>
        </w:rPr>
        <w:t>pegol</w:t>
      </w:r>
      <w:proofErr w:type="spellEnd"/>
      <w:r w:rsidRPr="00DF3447">
        <w:rPr>
          <w:sz w:val="24"/>
          <w:szCs w:val="24"/>
          <w:lang w:val="da-DK"/>
        </w:rPr>
        <w:t xml:space="preserve">, </w:t>
      </w:r>
      <w:proofErr w:type="spellStart"/>
      <w:r w:rsidRPr="00DF3447">
        <w:rPr>
          <w:sz w:val="24"/>
          <w:szCs w:val="24"/>
          <w:lang w:val="da-DK"/>
        </w:rPr>
        <w:t>secukinumab</w:t>
      </w:r>
      <w:proofErr w:type="spellEnd"/>
      <w:r w:rsidRPr="00DF3447">
        <w:rPr>
          <w:sz w:val="24"/>
          <w:szCs w:val="24"/>
          <w:lang w:val="da-DK"/>
        </w:rPr>
        <w:t xml:space="preserve">, </w:t>
      </w:r>
      <w:proofErr w:type="spellStart"/>
      <w:r w:rsidRPr="00DF3447">
        <w:rPr>
          <w:sz w:val="24"/>
          <w:szCs w:val="24"/>
          <w:lang w:val="da-DK"/>
        </w:rPr>
        <w:t>ixekizumab</w:t>
      </w:r>
      <w:proofErr w:type="spellEnd"/>
      <w:r w:rsidRPr="00DF3447">
        <w:rPr>
          <w:sz w:val="24"/>
          <w:szCs w:val="24"/>
          <w:lang w:val="da-DK"/>
        </w:rPr>
        <w:t xml:space="preserve">, </w:t>
      </w:r>
      <w:proofErr w:type="spellStart"/>
      <w:r w:rsidRPr="00DF3447">
        <w:rPr>
          <w:sz w:val="24"/>
          <w:szCs w:val="24"/>
          <w:lang w:val="da-DK"/>
        </w:rPr>
        <w:t>guselkumab</w:t>
      </w:r>
      <w:proofErr w:type="spellEnd"/>
      <w:r w:rsidRPr="00DF3447">
        <w:rPr>
          <w:sz w:val="24"/>
          <w:szCs w:val="24"/>
          <w:lang w:val="da-DK"/>
        </w:rPr>
        <w:t xml:space="preserve"> og </w:t>
      </w:r>
      <w:proofErr w:type="spellStart"/>
      <w:r w:rsidRPr="00DF3447">
        <w:rPr>
          <w:sz w:val="24"/>
          <w:szCs w:val="24"/>
          <w:lang w:val="da-DK"/>
        </w:rPr>
        <w:t>brodalumab</w:t>
      </w:r>
      <w:proofErr w:type="spellEnd"/>
      <w:r w:rsidRPr="00DF3447">
        <w:rPr>
          <w:sz w:val="24"/>
          <w:szCs w:val="24"/>
          <w:lang w:val="da-DK"/>
        </w:rPr>
        <w:t xml:space="preserve"> er der ikke et sådan krav. </w:t>
      </w:r>
      <w:r w:rsidR="00F044A7">
        <w:rPr>
          <w:sz w:val="24"/>
          <w:szCs w:val="24"/>
          <w:lang w:val="da-DK"/>
        </w:rPr>
        <w:t>P</w:t>
      </w:r>
      <w:r w:rsidRPr="00DF3447">
        <w:rPr>
          <w:sz w:val="24"/>
          <w:szCs w:val="24"/>
          <w:lang w:val="da-DK"/>
        </w:rPr>
        <w:t xml:space="preserve">rioritering af alle disse lægemidler er styret via Medicinrådet, hvor </w:t>
      </w:r>
      <w:r w:rsidR="00F044A7">
        <w:rPr>
          <w:sz w:val="24"/>
          <w:szCs w:val="24"/>
          <w:lang w:val="da-DK"/>
        </w:rPr>
        <w:t xml:space="preserve">effekten af </w:t>
      </w:r>
      <w:r w:rsidRPr="00DF3447">
        <w:rPr>
          <w:sz w:val="24"/>
          <w:szCs w:val="24"/>
          <w:lang w:val="da-DK"/>
        </w:rPr>
        <w:t xml:space="preserve">alle lægemidlerne evalueres. </w:t>
      </w:r>
    </w:p>
    <w:p w14:paraId="53ADA32B" w14:textId="77777777" w:rsidR="00F74E14" w:rsidRPr="00DF3447" w:rsidRDefault="00F74E14">
      <w:pPr>
        <w:pStyle w:val="Brdtekst"/>
        <w:rPr>
          <w:lang w:val="da-DK"/>
        </w:rPr>
      </w:pPr>
    </w:p>
    <w:p w14:paraId="47598F93" w14:textId="77777777" w:rsidR="00F74E14" w:rsidRPr="00DF3447" w:rsidRDefault="001C086A">
      <w:pPr>
        <w:pStyle w:val="Brdtekst"/>
        <w:spacing w:before="1"/>
        <w:ind w:left="112" w:right="109"/>
        <w:jc w:val="both"/>
      </w:pPr>
      <w:proofErr w:type="spellStart"/>
      <w:r w:rsidRPr="00DF3447">
        <w:rPr>
          <w:lang w:val="da-DK"/>
        </w:rPr>
        <w:t>Dimethylfumarat</w:t>
      </w:r>
      <w:proofErr w:type="spellEnd"/>
      <w:r w:rsidRPr="00DF3447">
        <w:rPr>
          <w:lang w:val="da-DK"/>
        </w:rPr>
        <w:t xml:space="preserve"> er ligeledes godkendt til behandling af moderat til svær psoriasis, uden krav til tidligere behandling. Placeringen af </w:t>
      </w:r>
      <w:proofErr w:type="spellStart"/>
      <w:r w:rsidRPr="00DF3447">
        <w:rPr>
          <w:lang w:val="da-DK"/>
        </w:rPr>
        <w:t>dimethylfumarat</w:t>
      </w:r>
      <w:proofErr w:type="spellEnd"/>
      <w:r w:rsidRPr="00DF3447">
        <w:rPr>
          <w:lang w:val="da-DK"/>
        </w:rPr>
        <w:t xml:space="preserve"> i behandling af psoriasis er ikke behandlet i Medicinrådet. </w:t>
      </w:r>
      <w:proofErr w:type="spellStart"/>
      <w:r w:rsidRPr="00DF3447">
        <w:rPr>
          <w:lang w:val="da-DK"/>
        </w:rPr>
        <w:t>Dimethylfumarat</w:t>
      </w:r>
      <w:proofErr w:type="spellEnd"/>
      <w:r w:rsidRPr="00DF3447">
        <w:rPr>
          <w:lang w:val="da-DK"/>
        </w:rPr>
        <w:t xml:space="preserve"> vil typisk kunne bruges frem for biologisk behandling hos patienter, der har nåleskræk eller hos patienter, hvor man har ønsker om mindre </w:t>
      </w:r>
      <w:proofErr w:type="spellStart"/>
      <w:r w:rsidRPr="00DF3447">
        <w:rPr>
          <w:lang w:val="da-DK"/>
        </w:rPr>
        <w:t>immunsupprimering</w:t>
      </w:r>
      <w:proofErr w:type="spellEnd"/>
      <w:r w:rsidRPr="00DF3447">
        <w:rPr>
          <w:lang w:val="da-DK"/>
        </w:rPr>
        <w:t xml:space="preserve"> </w:t>
      </w:r>
      <w:proofErr w:type="gramStart"/>
      <w:r w:rsidRPr="00DF3447">
        <w:rPr>
          <w:lang w:val="da-DK"/>
        </w:rPr>
        <w:t>eksempelvis</w:t>
      </w:r>
      <w:proofErr w:type="gramEnd"/>
      <w:r w:rsidRPr="00DF3447">
        <w:rPr>
          <w:lang w:val="da-DK"/>
        </w:rPr>
        <w:t xml:space="preserve"> hos patienter med tidligere cancer eller gentagende infektioner. </w:t>
      </w:r>
      <w:r w:rsidRPr="00DF3447">
        <w:t xml:space="preserve">Se under </w:t>
      </w:r>
      <w:proofErr w:type="spellStart"/>
      <w:r w:rsidRPr="00DF3447">
        <w:t>punkt</w:t>
      </w:r>
      <w:proofErr w:type="spellEnd"/>
      <w:r w:rsidRPr="00DF3447">
        <w:t xml:space="preserve"> 5 for</w:t>
      </w:r>
      <w:r w:rsidRPr="00DF3447">
        <w:rPr>
          <w:spacing w:val="-7"/>
        </w:rPr>
        <w:t xml:space="preserve"> </w:t>
      </w:r>
      <w:proofErr w:type="spellStart"/>
      <w:r w:rsidRPr="00DF3447">
        <w:t>tilskud</w:t>
      </w:r>
      <w:proofErr w:type="spellEnd"/>
      <w:r w:rsidRPr="00DF3447">
        <w:t>.</w:t>
      </w:r>
    </w:p>
    <w:p w14:paraId="51E5C3E8" w14:textId="77777777" w:rsidR="00F74E14" w:rsidRPr="00DF3447" w:rsidRDefault="00F74E14">
      <w:pPr>
        <w:pStyle w:val="Brdtekst"/>
      </w:pPr>
    </w:p>
    <w:p w14:paraId="76997C63" w14:textId="77777777" w:rsidR="00F74E14" w:rsidRPr="00DF3447" w:rsidRDefault="001C086A">
      <w:pPr>
        <w:pStyle w:val="Overskrift1"/>
        <w:numPr>
          <w:ilvl w:val="0"/>
          <w:numId w:val="2"/>
        </w:numPr>
        <w:tabs>
          <w:tab w:val="left" w:pos="353"/>
        </w:tabs>
        <w:ind w:hanging="241"/>
      </w:pPr>
      <w:proofErr w:type="spellStart"/>
      <w:r w:rsidRPr="00DF3447">
        <w:t>Forundersøgelse</w:t>
      </w:r>
      <w:proofErr w:type="spellEnd"/>
      <w:r w:rsidRPr="00DF3447">
        <w:t xml:space="preserve"> </w:t>
      </w:r>
      <w:proofErr w:type="spellStart"/>
      <w:r w:rsidRPr="00DF3447">
        <w:t>og</w:t>
      </w:r>
      <w:proofErr w:type="spellEnd"/>
      <w:r w:rsidRPr="00DF3447">
        <w:rPr>
          <w:spacing w:val="-2"/>
        </w:rPr>
        <w:t xml:space="preserve"> </w:t>
      </w:r>
      <w:proofErr w:type="spellStart"/>
      <w:r w:rsidRPr="00DF3447">
        <w:t>registrering</w:t>
      </w:r>
      <w:proofErr w:type="spellEnd"/>
    </w:p>
    <w:p w14:paraId="7945CB63" w14:textId="77777777" w:rsidR="00F74E14" w:rsidRPr="00F044A7" w:rsidRDefault="001C086A">
      <w:pPr>
        <w:pStyle w:val="Brdtekst"/>
        <w:ind w:left="112" w:right="178"/>
        <w:rPr>
          <w:lang w:val="da-DK"/>
        </w:rPr>
      </w:pPr>
      <w:r w:rsidRPr="00F044A7">
        <w:rPr>
          <w:lang w:val="da-DK"/>
        </w:rPr>
        <w:t>Før opstart af biologisk behandling anbefales for alle stofferne screening for risikofaktorer. Tjekliste er vedhæftet sidst i dette dokument. Tjeklisten anbefales udprintet og anvendt.</w:t>
      </w:r>
    </w:p>
    <w:p w14:paraId="059884B0" w14:textId="78D3F8BC" w:rsidR="00F74E14" w:rsidRPr="00DF3447" w:rsidRDefault="001C086A">
      <w:pPr>
        <w:pStyle w:val="Brdtekst"/>
        <w:ind w:left="112" w:right="491"/>
        <w:rPr>
          <w:lang w:val="da-DK"/>
        </w:rPr>
      </w:pPr>
      <w:r w:rsidRPr="00DF3447">
        <w:rPr>
          <w:lang w:val="da-DK"/>
        </w:rPr>
        <w:t xml:space="preserve">Hos patienter med moderat til svær kronisk psoriasis er der behov for langvarig behandling. En høj sikkerhedsprofil for behandlingen er afgørende. Det er derfor vigtigt, at patienterne registreres i den nationale </w:t>
      </w:r>
      <w:r w:rsidR="00291ABF" w:rsidRPr="00DF3447">
        <w:rPr>
          <w:lang w:val="da-DK"/>
        </w:rPr>
        <w:t>behandlings</w:t>
      </w:r>
      <w:r w:rsidRPr="00DF3447">
        <w:rPr>
          <w:lang w:val="da-DK"/>
        </w:rPr>
        <w:t>database (</w:t>
      </w:r>
      <w:proofErr w:type="spellStart"/>
      <w:r w:rsidR="00213B4C" w:rsidRPr="00DF3447">
        <w:rPr>
          <w:lang w:val="da-DK"/>
        </w:rPr>
        <w:t>D</w:t>
      </w:r>
      <w:r w:rsidRPr="00DF3447">
        <w:rPr>
          <w:lang w:val="da-DK"/>
        </w:rPr>
        <w:t>ermbio</w:t>
      </w:r>
      <w:proofErr w:type="spellEnd"/>
      <w:r w:rsidRPr="00DF3447">
        <w:rPr>
          <w:lang w:val="da-DK"/>
        </w:rPr>
        <w:t>).</w:t>
      </w:r>
    </w:p>
    <w:p w14:paraId="472700D2" w14:textId="77777777" w:rsidR="00F74E14" w:rsidRPr="00DF3447" w:rsidRDefault="001C086A">
      <w:pPr>
        <w:pStyle w:val="Brdtekst"/>
        <w:ind w:left="112" w:right="297"/>
        <w:rPr>
          <w:lang w:val="da-DK"/>
        </w:rPr>
      </w:pPr>
      <w:proofErr w:type="gramStart"/>
      <w:r w:rsidRPr="00DF3447">
        <w:rPr>
          <w:lang w:val="da-DK"/>
        </w:rPr>
        <w:t>Endvidere</w:t>
      </w:r>
      <w:proofErr w:type="gramEnd"/>
      <w:r w:rsidRPr="00DF3447">
        <w:rPr>
          <w:lang w:val="da-DK"/>
        </w:rPr>
        <w:t xml:space="preserve"> bør de Nationale Kliniske Retningslinjer for Psoriasis følges, og patienterne bør en gang årlig screenes for risikofaktorer for hjertekarsygdomme samt regelmæssigt screenes for psoriasis gigt.</w:t>
      </w:r>
    </w:p>
    <w:p w14:paraId="3E574A90" w14:textId="77777777" w:rsidR="00F74E14" w:rsidRPr="00DF3447" w:rsidRDefault="00F74E14">
      <w:pPr>
        <w:pStyle w:val="Brdtekst"/>
        <w:spacing w:before="1"/>
        <w:rPr>
          <w:lang w:val="da-DK"/>
        </w:rPr>
      </w:pPr>
    </w:p>
    <w:p w14:paraId="35D43AB9" w14:textId="77777777" w:rsidR="00F74E14" w:rsidRPr="00DF3447" w:rsidRDefault="001C086A">
      <w:pPr>
        <w:pStyle w:val="Overskrift1"/>
        <w:spacing w:line="275" w:lineRule="exact"/>
        <w:ind w:left="112" w:firstLine="0"/>
        <w:rPr>
          <w:lang w:val="da-DK"/>
        </w:rPr>
      </w:pPr>
      <w:r w:rsidRPr="00DF3447">
        <w:rPr>
          <w:lang w:val="da-DK"/>
        </w:rPr>
        <w:t>8.1 Forundersøgelser</w:t>
      </w:r>
    </w:p>
    <w:p w14:paraId="29DD9ED4" w14:textId="79E7B97B" w:rsidR="00F74E14" w:rsidRPr="00DF3447" w:rsidRDefault="001C086A">
      <w:pPr>
        <w:pStyle w:val="Brdtekst"/>
        <w:ind w:left="112" w:right="296"/>
        <w:rPr>
          <w:lang w:val="da-DK"/>
        </w:rPr>
      </w:pPr>
      <w:r w:rsidRPr="00DF3447">
        <w:rPr>
          <w:lang w:val="da-DK"/>
        </w:rPr>
        <w:lastRenderedPageBreak/>
        <w:t xml:space="preserve">Det er vigtigt at foretage en grundig anamnese og klinisk undersøgelse af patienten. Mht. anamnese udspørges om symptomer på hjerteinsufficiens (NYHA-gruppe III og IV), </w:t>
      </w:r>
      <w:proofErr w:type="spellStart"/>
      <w:r w:rsidRPr="00DF3447">
        <w:rPr>
          <w:lang w:val="da-DK"/>
        </w:rPr>
        <w:t>demyeliniserende</w:t>
      </w:r>
      <w:proofErr w:type="spellEnd"/>
      <w:r w:rsidRPr="00DF3447">
        <w:rPr>
          <w:lang w:val="da-DK"/>
        </w:rPr>
        <w:t xml:space="preserve"> sygdom, gigt, inflammatoriske tarmsygdomme, kroniske infektioner, graviditet, depression og malign sygdom. Malign sygdom indenfor de sidste 5 år udgør sædvanligvis en </w:t>
      </w:r>
      <w:r w:rsidR="00291ABF" w:rsidRPr="00DF3447">
        <w:rPr>
          <w:lang w:val="da-DK"/>
        </w:rPr>
        <w:t xml:space="preserve">relativ </w:t>
      </w:r>
      <w:r w:rsidRPr="00DF3447">
        <w:rPr>
          <w:lang w:val="da-DK"/>
        </w:rPr>
        <w:t xml:space="preserve">kontraindikation, gælder ikke for </w:t>
      </w:r>
      <w:proofErr w:type="spellStart"/>
      <w:r w:rsidRPr="00DF3447">
        <w:rPr>
          <w:lang w:val="da-DK"/>
        </w:rPr>
        <w:t>apremilast</w:t>
      </w:r>
      <w:proofErr w:type="spellEnd"/>
      <w:r w:rsidRPr="00DF3447">
        <w:rPr>
          <w:lang w:val="da-DK"/>
        </w:rPr>
        <w:t xml:space="preserve"> og </w:t>
      </w:r>
      <w:proofErr w:type="spellStart"/>
      <w:r w:rsidRPr="00DF3447">
        <w:rPr>
          <w:lang w:val="da-DK"/>
        </w:rPr>
        <w:t>dimethylfumarat</w:t>
      </w:r>
      <w:proofErr w:type="spellEnd"/>
      <w:r w:rsidRPr="00DF3447">
        <w:rPr>
          <w:lang w:val="da-DK"/>
        </w:rPr>
        <w:t xml:space="preserve">. Dette gælder dog ikke behandlet non-melanom-hudkræft og </w:t>
      </w:r>
      <w:proofErr w:type="spellStart"/>
      <w:r w:rsidRPr="00DF3447">
        <w:rPr>
          <w:lang w:val="da-DK"/>
        </w:rPr>
        <w:t>cervix</w:t>
      </w:r>
      <w:proofErr w:type="spellEnd"/>
      <w:r w:rsidRPr="00DF3447">
        <w:rPr>
          <w:lang w:val="da-DK"/>
        </w:rPr>
        <w:t xml:space="preserve"> </w:t>
      </w:r>
      <w:proofErr w:type="spellStart"/>
      <w:r w:rsidRPr="00DF3447">
        <w:rPr>
          <w:lang w:val="da-DK"/>
        </w:rPr>
        <w:t>dysplasi</w:t>
      </w:r>
      <w:proofErr w:type="spellEnd"/>
      <w:r w:rsidRPr="00DF3447">
        <w:rPr>
          <w:lang w:val="da-DK"/>
        </w:rPr>
        <w:t xml:space="preserve">. Blodprøve til analyse af hæmoglobin, leukocyt </w:t>
      </w:r>
      <w:proofErr w:type="spellStart"/>
      <w:r w:rsidRPr="00DF3447">
        <w:rPr>
          <w:lang w:val="da-DK"/>
        </w:rPr>
        <w:t>differentialtælling</w:t>
      </w:r>
      <w:proofErr w:type="spellEnd"/>
      <w:r w:rsidRPr="00DF3447">
        <w:rPr>
          <w:lang w:val="da-DK"/>
        </w:rPr>
        <w:t xml:space="preserve">, </w:t>
      </w:r>
      <w:proofErr w:type="spellStart"/>
      <w:r w:rsidRPr="00DF3447">
        <w:rPr>
          <w:lang w:val="da-DK"/>
        </w:rPr>
        <w:t>trombocytter</w:t>
      </w:r>
      <w:proofErr w:type="spellEnd"/>
      <w:r w:rsidRPr="00DF3447">
        <w:rPr>
          <w:lang w:val="da-DK"/>
        </w:rPr>
        <w:t xml:space="preserve">, ALAT, basisk </w:t>
      </w:r>
      <w:proofErr w:type="spellStart"/>
      <w:r w:rsidRPr="00DF3447">
        <w:rPr>
          <w:lang w:val="da-DK"/>
        </w:rPr>
        <w:t>fosfotase</w:t>
      </w:r>
      <w:proofErr w:type="spellEnd"/>
      <w:r w:rsidRPr="00DF3447">
        <w:rPr>
          <w:lang w:val="da-DK"/>
        </w:rPr>
        <w:t xml:space="preserve">, serum </w:t>
      </w:r>
      <w:proofErr w:type="spellStart"/>
      <w:r w:rsidRPr="00DF3447">
        <w:rPr>
          <w:lang w:val="da-DK"/>
        </w:rPr>
        <w:t>kreatinin</w:t>
      </w:r>
      <w:proofErr w:type="spellEnd"/>
      <w:r w:rsidRPr="00DF3447">
        <w:rPr>
          <w:lang w:val="da-DK"/>
        </w:rPr>
        <w:t xml:space="preserve">, hepatitis B og C serologi og ANA. </w:t>
      </w:r>
      <w:proofErr w:type="gramStart"/>
      <w:r w:rsidRPr="00DF3447">
        <w:rPr>
          <w:lang w:val="da-DK"/>
        </w:rPr>
        <w:t>Endvidere</w:t>
      </w:r>
      <w:proofErr w:type="gramEnd"/>
      <w:r w:rsidRPr="00DF3447">
        <w:rPr>
          <w:lang w:val="da-DK"/>
        </w:rPr>
        <w:t xml:space="preserve"> anbefales HIV-test.</w:t>
      </w:r>
    </w:p>
    <w:p w14:paraId="3622F9C4" w14:textId="77777777" w:rsidR="00F74E14" w:rsidRPr="00DF3447" w:rsidRDefault="001C086A">
      <w:pPr>
        <w:pStyle w:val="Brdtekst"/>
        <w:ind w:left="112" w:right="548"/>
        <w:jc w:val="both"/>
        <w:rPr>
          <w:lang w:val="da-DK"/>
        </w:rPr>
      </w:pPr>
      <w:r w:rsidRPr="00DF3447">
        <w:rPr>
          <w:lang w:val="da-DK"/>
        </w:rPr>
        <w:t xml:space="preserve">Hvis patienten ikke har haft </w:t>
      </w:r>
      <w:proofErr w:type="spellStart"/>
      <w:r w:rsidRPr="00DF3447">
        <w:rPr>
          <w:lang w:val="da-DK"/>
        </w:rPr>
        <w:t>variceller</w:t>
      </w:r>
      <w:proofErr w:type="spellEnd"/>
      <w:r w:rsidRPr="00DF3447">
        <w:rPr>
          <w:lang w:val="da-DK"/>
        </w:rPr>
        <w:t xml:space="preserve">/herpes </w:t>
      </w:r>
      <w:proofErr w:type="spellStart"/>
      <w:r w:rsidRPr="00DF3447">
        <w:rPr>
          <w:lang w:val="da-DK"/>
        </w:rPr>
        <w:t>zoster</w:t>
      </w:r>
      <w:proofErr w:type="spellEnd"/>
      <w:r w:rsidRPr="00DF3447">
        <w:rPr>
          <w:lang w:val="da-DK"/>
        </w:rPr>
        <w:t xml:space="preserve"> anbefales måling af antistoffer og hvis disse er </w:t>
      </w:r>
      <w:proofErr w:type="gramStart"/>
      <w:r w:rsidRPr="00DF3447">
        <w:rPr>
          <w:lang w:val="da-DK"/>
        </w:rPr>
        <w:t>negative</w:t>
      </w:r>
      <w:proofErr w:type="gramEnd"/>
      <w:r w:rsidRPr="00DF3447">
        <w:rPr>
          <w:lang w:val="da-DK"/>
        </w:rPr>
        <w:t xml:space="preserve"> anbefales vaccination. Der anbefales </w:t>
      </w:r>
      <w:proofErr w:type="spellStart"/>
      <w:r w:rsidRPr="00DF3447">
        <w:rPr>
          <w:lang w:val="da-DK"/>
        </w:rPr>
        <w:t>pneumokok</w:t>
      </w:r>
      <w:proofErr w:type="spellEnd"/>
      <w:r w:rsidRPr="00DF3447">
        <w:rPr>
          <w:lang w:val="da-DK"/>
        </w:rPr>
        <w:t xml:space="preserve"> vaccination før opstart af behandling, og patienterne bør overveje om vaccination mod Gul Feber kunne være relevant.</w:t>
      </w:r>
    </w:p>
    <w:p w14:paraId="76D4AA5E" w14:textId="77777777" w:rsidR="00F74E14" w:rsidRPr="00DF3447" w:rsidRDefault="001C086A">
      <w:pPr>
        <w:pStyle w:val="Brdtekst"/>
        <w:ind w:left="112"/>
        <w:jc w:val="both"/>
        <w:rPr>
          <w:lang w:val="da-DK"/>
        </w:rPr>
      </w:pPr>
      <w:r w:rsidRPr="00DF3447">
        <w:rPr>
          <w:lang w:val="da-DK"/>
        </w:rPr>
        <w:t>Urinundersøgelse for nitrit, leukocytter, albumin og hæmoglobin.</w:t>
      </w:r>
    </w:p>
    <w:p w14:paraId="5798D401" w14:textId="77777777" w:rsidR="00F74E14" w:rsidRPr="00DF3447" w:rsidRDefault="001C086A">
      <w:pPr>
        <w:pStyle w:val="Brdtekst"/>
        <w:ind w:left="112" w:right="670"/>
        <w:rPr>
          <w:lang w:val="da-DK"/>
        </w:rPr>
      </w:pPr>
      <w:r w:rsidRPr="00DF3447">
        <w:rPr>
          <w:lang w:val="da-DK"/>
        </w:rPr>
        <w:t xml:space="preserve">Røntgenundersøgelse af thorax samt undersøgelse for tuberkulose anbefales ved de biologiske lægemidler specielt TNF </w:t>
      </w:r>
      <w:proofErr w:type="spellStart"/>
      <w:r w:rsidRPr="00DF3447">
        <w:rPr>
          <w:lang w:val="da-DK"/>
        </w:rPr>
        <w:t>hæmmere</w:t>
      </w:r>
      <w:proofErr w:type="spellEnd"/>
      <w:r w:rsidRPr="00DF3447">
        <w:rPr>
          <w:lang w:val="da-DK"/>
        </w:rPr>
        <w:t xml:space="preserve"> (Se </w:t>
      </w:r>
      <w:proofErr w:type="spellStart"/>
      <w:r w:rsidRPr="00DF3447">
        <w:rPr>
          <w:lang w:val="da-DK"/>
        </w:rPr>
        <w:t>appendix</w:t>
      </w:r>
      <w:proofErr w:type="spellEnd"/>
      <w:r w:rsidRPr="00DF3447">
        <w:rPr>
          <w:lang w:val="da-DK"/>
        </w:rPr>
        <w:t xml:space="preserve"> 17.2). Patienter med latent tuberkulose bør være opstartet i antituberkuløs behandles, inden behandling indledes.</w:t>
      </w:r>
    </w:p>
    <w:p w14:paraId="1D0A0DF2" w14:textId="77777777" w:rsidR="00F74E14" w:rsidRPr="00DF3447" w:rsidRDefault="00F74E14">
      <w:pPr>
        <w:pStyle w:val="Brdtekst"/>
        <w:rPr>
          <w:lang w:val="da-DK"/>
        </w:rPr>
      </w:pPr>
    </w:p>
    <w:p w14:paraId="25C5BFC1" w14:textId="77777777" w:rsidR="00F74E14" w:rsidRPr="00DF3447" w:rsidRDefault="00F74E14">
      <w:pPr>
        <w:pStyle w:val="Brdtekst"/>
        <w:spacing w:before="11"/>
        <w:rPr>
          <w:lang w:val="da-DK"/>
        </w:rPr>
      </w:pPr>
    </w:p>
    <w:p w14:paraId="2E5A037D" w14:textId="77777777" w:rsidR="00F74E14" w:rsidRPr="00DF3447" w:rsidRDefault="001C086A">
      <w:pPr>
        <w:pStyle w:val="Overskrift1"/>
        <w:numPr>
          <w:ilvl w:val="0"/>
          <w:numId w:val="2"/>
        </w:numPr>
        <w:tabs>
          <w:tab w:val="left" w:pos="354"/>
        </w:tabs>
        <w:ind w:left="353" w:hanging="242"/>
      </w:pPr>
      <w:proofErr w:type="spellStart"/>
      <w:r w:rsidRPr="00DF3447">
        <w:t>Kontrol</w:t>
      </w:r>
      <w:proofErr w:type="spellEnd"/>
    </w:p>
    <w:p w14:paraId="4E44AAFA" w14:textId="77B01070" w:rsidR="00F74E14" w:rsidRPr="00DF3447" w:rsidRDefault="001C086A">
      <w:pPr>
        <w:pStyle w:val="Brdtekst"/>
        <w:ind w:left="112" w:right="188"/>
        <w:rPr>
          <w:lang w:val="da-DK"/>
        </w:rPr>
      </w:pPr>
      <w:r w:rsidRPr="00DF3447">
        <w:rPr>
          <w:lang w:val="da-DK"/>
        </w:rPr>
        <w:t xml:space="preserve">Først efter 12-16 uger vurderes behandlingseffekten. </w:t>
      </w:r>
      <w:r w:rsidR="00AF7E7C" w:rsidRPr="00DF3447">
        <w:rPr>
          <w:color w:val="000000"/>
          <w:shd w:val="clear" w:color="auto" w:fill="FFFFFF" w:themeFill="background1"/>
          <w:lang w:val="da-DK"/>
        </w:rPr>
        <w:t>Her er målet mindst 75 % bedring, sædvanligvis vurderet ud fra PASI, men gerne en absolut PASI&gt;3 (i klinisk afprøvning ønskes PASI90, men dette måles efter udvaskning af forudgående behandling)</w:t>
      </w:r>
      <w:r w:rsidR="00AF7E7C" w:rsidRPr="00DF3447">
        <w:rPr>
          <w:shd w:val="clear" w:color="auto" w:fill="FFFFFF" w:themeFill="background1"/>
          <w:lang w:val="da-DK"/>
        </w:rPr>
        <w:t xml:space="preserve">. </w:t>
      </w:r>
      <w:r w:rsidRPr="00DF3447">
        <w:rPr>
          <w:lang w:val="da-DK"/>
        </w:rPr>
        <w:t xml:space="preserve">Ved &lt;50 % bedring seponeres behandlingen. Ved 50-75 % bedring foretages en individuel vurdering. </w:t>
      </w:r>
      <w:proofErr w:type="gramStart"/>
      <w:r w:rsidRPr="00DF3447">
        <w:rPr>
          <w:lang w:val="da-DK"/>
        </w:rPr>
        <w:t>Eksempelvis</w:t>
      </w:r>
      <w:proofErr w:type="gramEnd"/>
      <w:r w:rsidRPr="00DF3447">
        <w:rPr>
          <w:lang w:val="da-DK"/>
        </w:rPr>
        <w:t xml:space="preserve"> vil en udtalt bedring af de mest generende læsioner</w:t>
      </w:r>
    </w:p>
    <w:p w14:paraId="6DFE02FB" w14:textId="77777777" w:rsidR="00F74E14" w:rsidRPr="00DF3447" w:rsidRDefault="00F74E14">
      <w:pPr>
        <w:pStyle w:val="Brdtekst"/>
        <w:spacing w:before="7"/>
        <w:rPr>
          <w:lang w:val="da-DK"/>
        </w:rPr>
      </w:pPr>
    </w:p>
    <w:p w14:paraId="44C54567" w14:textId="77777777" w:rsidR="00F74E14" w:rsidRPr="00DF3447" w:rsidRDefault="001C086A">
      <w:pPr>
        <w:pStyle w:val="Brdtekst"/>
        <w:spacing w:before="90"/>
        <w:ind w:left="112" w:right="264"/>
        <w:rPr>
          <w:lang w:val="da-DK"/>
        </w:rPr>
      </w:pPr>
      <w:r w:rsidRPr="00DF3447">
        <w:rPr>
          <w:lang w:val="da-DK"/>
        </w:rPr>
        <w:t xml:space="preserve">opfattes som tilfredsstillende. Efterfølgende kontrolleres patienten mht. effekt og </w:t>
      </w:r>
      <w:proofErr w:type="spellStart"/>
      <w:r w:rsidRPr="00DF3447">
        <w:rPr>
          <w:lang w:val="da-DK"/>
        </w:rPr>
        <w:t>tolerabilitet</w:t>
      </w:r>
      <w:proofErr w:type="spellEnd"/>
      <w:r w:rsidRPr="00DF3447">
        <w:rPr>
          <w:lang w:val="da-DK"/>
        </w:rPr>
        <w:t xml:space="preserve"> hver 3-6 mdr.</w:t>
      </w:r>
    </w:p>
    <w:p w14:paraId="5F0461C0" w14:textId="77777777" w:rsidR="00F74E14" w:rsidRPr="00DF3447" w:rsidRDefault="001C086A">
      <w:pPr>
        <w:pStyle w:val="Brdtekst"/>
        <w:ind w:left="112" w:right="317"/>
      </w:pPr>
      <w:r w:rsidRPr="00DF3447">
        <w:rPr>
          <w:lang w:val="da-DK"/>
        </w:rPr>
        <w:t xml:space="preserve">Der er ingen krav om </w:t>
      </w:r>
      <w:proofErr w:type="spellStart"/>
      <w:r w:rsidRPr="00DF3447">
        <w:rPr>
          <w:lang w:val="da-DK"/>
        </w:rPr>
        <w:t>blodprøvekontol</w:t>
      </w:r>
      <w:proofErr w:type="spellEnd"/>
      <w:r w:rsidRPr="00DF3447">
        <w:rPr>
          <w:lang w:val="da-DK"/>
        </w:rPr>
        <w:t xml:space="preserve"> for de biologiske lægemidler og </w:t>
      </w:r>
      <w:proofErr w:type="spellStart"/>
      <w:r w:rsidRPr="00DF3447">
        <w:rPr>
          <w:lang w:val="da-DK"/>
        </w:rPr>
        <w:t>apremilast</w:t>
      </w:r>
      <w:proofErr w:type="spellEnd"/>
      <w:r w:rsidRPr="00DF3447">
        <w:rPr>
          <w:lang w:val="da-DK"/>
        </w:rPr>
        <w:t>, men der anbefales blodprøve (</w:t>
      </w:r>
      <w:proofErr w:type="spellStart"/>
      <w:r w:rsidRPr="00DF3447">
        <w:rPr>
          <w:lang w:val="da-DK"/>
        </w:rPr>
        <w:t>Hb</w:t>
      </w:r>
      <w:proofErr w:type="spellEnd"/>
      <w:r w:rsidRPr="00DF3447">
        <w:rPr>
          <w:lang w:val="da-DK"/>
        </w:rPr>
        <w:t xml:space="preserve">, leukocytter, </w:t>
      </w:r>
      <w:proofErr w:type="spellStart"/>
      <w:r w:rsidRPr="00DF3447">
        <w:rPr>
          <w:lang w:val="da-DK"/>
        </w:rPr>
        <w:t>trombocytter</w:t>
      </w:r>
      <w:proofErr w:type="spellEnd"/>
      <w:r w:rsidRPr="00DF3447">
        <w:rPr>
          <w:lang w:val="da-DK"/>
        </w:rPr>
        <w:t xml:space="preserve">, ALAT, basisk fosfatase og </w:t>
      </w:r>
      <w:proofErr w:type="spellStart"/>
      <w:r w:rsidRPr="00DF3447">
        <w:rPr>
          <w:lang w:val="da-DK"/>
        </w:rPr>
        <w:t>kreatinin</w:t>
      </w:r>
      <w:proofErr w:type="spellEnd"/>
      <w:r w:rsidRPr="00DF3447">
        <w:rPr>
          <w:lang w:val="da-DK"/>
        </w:rPr>
        <w:t xml:space="preserve">) hver 3-6 mdr. det første år og efterfølgende hver 6-12 mdr. </w:t>
      </w:r>
      <w:r w:rsidRPr="00DF3447">
        <w:t xml:space="preserve">For </w:t>
      </w:r>
      <w:proofErr w:type="spellStart"/>
      <w:r w:rsidRPr="00DF3447">
        <w:t>dimethylfumarat</w:t>
      </w:r>
      <w:proofErr w:type="spellEnd"/>
      <w:r w:rsidRPr="00DF3447">
        <w:t xml:space="preserve">, se </w:t>
      </w:r>
      <w:proofErr w:type="spellStart"/>
      <w:r w:rsidRPr="00DF3447">
        <w:t>nedenfor</w:t>
      </w:r>
      <w:proofErr w:type="spellEnd"/>
      <w:r w:rsidRPr="00DF3447">
        <w:t>.</w:t>
      </w:r>
    </w:p>
    <w:p w14:paraId="4626DAB7" w14:textId="77777777" w:rsidR="00F74E14" w:rsidRPr="00DF3447" w:rsidRDefault="00F74E14">
      <w:pPr>
        <w:pStyle w:val="Brdtekst"/>
      </w:pPr>
    </w:p>
    <w:p w14:paraId="5BA181C2" w14:textId="77777777" w:rsidR="00F74E14" w:rsidRPr="00DF3447" w:rsidRDefault="001C086A">
      <w:pPr>
        <w:pStyle w:val="Overskrift1"/>
        <w:numPr>
          <w:ilvl w:val="0"/>
          <w:numId w:val="2"/>
        </w:numPr>
        <w:tabs>
          <w:tab w:val="left" w:pos="474"/>
        </w:tabs>
        <w:ind w:left="473" w:hanging="362"/>
        <w:rPr>
          <w:lang w:val="da-DK"/>
        </w:rPr>
      </w:pPr>
      <w:r w:rsidRPr="00DF3447">
        <w:rPr>
          <w:lang w:val="da-DK"/>
        </w:rPr>
        <w:t>Følgende specielle forhold gælder for de enkelte lægemidler/grupper af</w:t>
      </w:r>
      <w:r w:rsidRPr="00DF3447">
        <w:rPr>
          <w:spacing w:val="-7"/>
          <w:lang w:val="da-DK"/>
        </w:rPr>
        <w:t xml:space="preserve"> </w:t>
      </w:r>
      <w:r w:rsidRPr="00DF3447">
        <w:rPr>
          <w:lang w:val="da-DK"/>
        </w:rPr>
        <w:t>lægemidler</w:t>
      </w:r>
    </w:p>
    <w:p w14:paraId="5DFBE32A" w14:textId="77777777" w:rsidR="00F74E14" w:rsidRPr="00DF3447" w:rsidRDefault="00F74E14">
      <w:pPr>
        <w:pStyle w:val="Brdtekst"/>
        <w:rPr>
          <w:b/>
          <w:lang w:val="da-DK"/>
        </w:rPr>
      </w:pPr>
    </w:p>
    <w:p w14:paraId="2346AD7B" w14:textId="77777777" w:rsidR="00F74E14" w:rsidRPr="00DF3447" w:rsidRDefault="001C086A">
      <w:pPr>
        <w:pStyle w:val="Brdtekst"/>
        <w:spacing w:before="1"/>
        <w:ind w:left="112"/>
        <w:rPr>
          <w:lang w:val="da-DK"/>
        </w:rPr>
      </w:pPr>
      <w:r w:rsidRPr="00DF3447">
        <w:rPr>
          <w:u w:val="single"/>
          <w:lang w:val="da-DK"/>
        </w:rPr>
        <w:t>TNF-hæmmerne:</w:t>
      </w:r>
    </w:p>
    <w:p w14:paraId="697A1EC0" w14:textId="77777777" w:rsidR="00F74E14" w:rsidRPr="00DF3447" w:rsidRDefault="001C086A">
      <w:pPr>
        <w:pStyle w:val="Brdtekst"/>
        <w:ind w:left="112"/>
        <w:rPr>
          <w:lang w:val="da-DK"/>
        </w:rPr>
      </w:pPr>
      <w:r w:rsidRPr="00DF3447">
        <w:rPr>
          <w:lang w:val="da-DK"/>
        </w:rPr>
        <w:t>Inden behandlingsstart skal der screenes for latent tuberkulose og for hepatitis B</w:t>
      </w:r>
    </w:p>
    <w:p w14:paraId="0CFA8824" w14:textId="1169E8A4" w:rsidR="00F74E14" w:rsidRPr="00DF3447" w:rsidRDefault="001C086A">
      <w:pPr>
        <w:pStyle w:val="Brdtekst"/>
        <w:ind w:left="112" w:right="296"/>
        <w:rPr>
          <w:lang w:val="da-DK"/>
        </w:rPr>
      </w:pPr>
      <w:r w:rsidRPr="00DF3447">
        <w:rPr>
          <w:lang w:val="da-DK"/>
        </w:rPr>
        <w:t>Forsigtighed ved infektionstendens, hjerteinsufficiens (NYHA I</w:t>
      </w:r>
      <w:r w:rsidR="00E70564">
        <w:rPr>
          <w:lang w:val="da-DK"/>
        </w:rPr>
        <w:t>II</w:t>
      </w:r>
      <w:r w:rsidRPr="00DF3447">
        <w:rPr>
          <w:lang w:val="da-DK"/>
        </w:rPr>
        <w:t>/I</w:t>
      </w:r>
      <w:r w:rsidR="00E70564">
        <w:rPr>
          <w:lang w:val="da-DK"/>
        </w:rPr>
        <w:t>V</w:t>
      </w:r>
      <w:r w:rsidRPr="00DF3447">
        <w:rPr>
          <w:lang w:val="da-DK"/>
        </w:rPr>
        <w:t xml:space="preserve">), </w:t>
      </w:r>
      <w:proofErr w:type="spellStart"/>
      <w:r w:rsidRPr="00DF3447">
        <w:rPr>
          <w:lang w:val="da-DK"/>
        </w:rPr>
        <w:t>demyeliniserende</w:t>
      </w:r>
      <w:proofErr w:type="spellEnd"/>
      <w:r w:rsidRPr="00DF3447">
        <w:rPr>
          <w:lang w:val="da-DK"/>
        </w:rPr>
        <w:t xml:space="preserve"> lidelser og kirurgi. Risiko for udvikling, aktivering af </w:t>
      </w:r>
      <w:proofErr w:type="spellStart"/>
      <w:r w:rsidRPr="00DF3447">
        <w:rPr>
          <w:lang w:val="da-DK"/>
        </w:rPr>
        <w:t>autoantostoffer</w:t>
      </w:r>
      <w:proofErr w:type="spellEnd"/>
      <w:r w:rsidRPr="00DF3447">
        <w:rPr>
          <w:lang w:val="da-DK"/>
        </w:rPr>
        <w:t xml:space="preserve"> </w:t>
      </w:r>
      <w:proofErr w:type="gramStart"/>
      <w:r w:rsidRPr="00DF3447">
        <w:rPr>
          <w:lang w:val="da-DK"/>
        </w:rPr>
        <w:t>inklusiv</w:t>
      </w:r>
      <w:proofErr w:type="gramEnd"/>
      <w:r w:rsidRPr="00DF3447">
        <w:rPr>
          <w:lang w:val="da-DK"/>
        </w:rPr>
        <w:t xml:space="preserve"> aktivering af lupus </w:t>
      </w:r>
      <w:proofErr w:type="spellStart"/>
      <w:r w:rsidRPr="00DF3447">
        <w:rPr>
          <w:lang w:val="da-DK"/>
        </w:rPr>
        <w:t>erythematosus</w:t>
      </w:r>
      <w:proofErr w:type="spellEnd"/>
      <w:r w:rsidRPr="00DF3447">
        <w:rPr>
          <w:lang w:val="da-DK"/>
        </w:rPr>
        <w:t>.</w:t>
      </w:r>
    </w:p>
    <w:p w14:paraId="02457F22" w14:textId="77777777" w:rsidR="00F74E14" w:rsidRPr="00DF3447" w:rsidRDefault="00F74E14">
      <w:pPr>
        <w:pStyle w:val="Brdtekst"/>
        <w:rPr>
          <w:lang w:val="da-DK"/>
        </w:rPr>
      </w:pPr>
    </w:p>
    <w:p w14:paraId="3F2AFBB7" w14:textId="270EA4EF" w:rsidR="00F74E14" w:rsidRPr="00DF3447" w:rsidRDefault="001C086A">
      <w:pPr>
        <w:pStyle w:val="Brdtekst"/>
        <w:ind w:left="112" w:right="1135"/>
        <w:rPr>
          <w:lang w:val="da-DK"/>
        </w:rPr>
      </w:pPr>
      <w:r w:rsidRPr="00DF3447">
        <w:rPr>
          <w:lang w:val="da-DK"/>
        </w:rPr>
        <w:t xml:space="preserve">For </w:t>
      </w:r>
      <w:proofErr w:type="spellStart"/>
      <w:r w:rsidRPr="00DF3447">
        <w:rPr>
          <w:lang w:val="da-DK"/>
        </w:rPr>
        <w:t>infliximab</w:t>
      </w:r>
      <w:proofErr w:type="spellEnd"/>
      <w:r w:rsidRPr="00DF3447">
        <w:rPr>
          <w:lang w:val="da-DK"/>
        </w:rPr>
        <w:t xml:space="preserve">: Ved genopstart af behandling efter længere pause (&gt;12 uger) behandling </w:t>
      </w:r>
      <w:r w:rsidR="001E1BB8">
        <w:rPr>
          <w:lang w:val="da-DK"/>
        </w:rPr>
        <w:t>bør</w:t>
      </w:r>
      <w:r w:rsidRPr="00DF3447">
        <w:rPr>
          <w:lang w:val="da-DK"/>
        </w:rPr>
        <w:t xml:space="preserve"> patienterne følges nøje med henblik på udvikling af forsinket overfølsomhed.</w:t>
      </w:r>
    </w:p>
    <w:p w14:paraId="6F077671" w14:textId="77777777" w:rsidR="00F74E14" w:rsidRPr="00DF3447" w:rsidRDefault="00F74E14">
      <w:pPr>
        <w:pStyle w:val="Brdtekst"/>
        <w:rPr>
          <w:lang w:val="da-DK"/>
        </w:rPr>
      </w:pPr>
    </w:p>
    <w:p w14:paraId="0C57D187" w14:textId="77777777" w:rsidR="00F74E14" w:rsidRPr="00DF3447" w:rsidRDefault="00F74E14">
      <w:pPr>
        <w:pStyle w:val="Brdtekst"/>
        <w:rPr>
          <w:lang w:val="da-DK"/>
        </w:rPr>
      </w:pPr>
    </w:p>
    <w:p w14:paraId="200DE0EA" w14:textId="77777777" w:rsidR="00F74E14" w:rsidRPr="00DF3447" w:rsidRDefault="001C086A">
      <w:pPr>
        <w:pStyle w:val="Brdtekst"/>
        <w:ind w:left="112"/>
        <w:rPr>
          <w:lang w:val="da-DK"/>
        </w:rPr>
      </w:pPr>
      <w:r w:rsidRPr="00DF3447">
        <w:rPr>
          <w:u w:val="single"/>
          <w:lang w:val="da-DK"/>
        </w:rPr>
        <w:t>IL17-hæmmere:</w:t>
      </w:r>
    </w:p>
    <w:p w14:paraId="4F7A45AD" w14:textId="77777777" w:rsidR="00F74E14" w:rsidRPr="00DF3447" w:rsidRDefault="001C086A">
      <w:pPr>
        <w:pStyle w:val="Brdtekst"/>
        <w:ind w:left="112" w:right="483"/>
        <w:rPr>
          <w:lang w:val="da-DK"/>
        </w:rPr>
      </w:pPr>
      <w:r w:rsidRPr="00DF3447">
        <w:rPr>
          <w:lang w:val="da-DK"/>
        </w:rPr>
        <w:t xml:space="preserve">Forsigtighed ved klinisk betydende infektioner. Latent tuberkulose bør behandles, inden behandling med IL17-hæmmere indledes. Svampeinfektion i huden inklusiv oral </w:t>
      </w:r>
      <w:proofErr w:type="spellStart"/>
      <w:r w:rsidRPr="00DF3447">
        <w:rPr>
          <w:lang w:val="da-DK"/>
        </w:rPr>
        <w:t>candidiasis</w:t>
      </w:r>
      <w:proofErr w:type="spellEnd"/>
      <w:r w:rsidRPr="00DF3447">
        <w:rPr>
          <w:lang w:val="da-DK"/>
        </w:rPr>
        <w:t>.</w:t>
      </w:r>
    </w:p>
    <w:p w14:paraId="20CFE16E" w14:textId="77777777" w:rsidR="00F74E14" w:rsidRPr="00DF3447" w:rsidRDefault="001C086A">
      <w:pPr>
        <w:pStyle w:val="Brdtekst"/>
        <w:ind w:left="112"/>
        <w:rPr>
          <w:lang w:val="da-DK"/>
        </w:rPr>
      </w:pPr>
      <w:r w:rsidRPr="00DF3447">
        <w:rPr>
          <w:lang w:val="da-DK"/>
        </w:rPr>
        <w:t xml:space="preserve">Forbigående </w:t>
      </w:r>
      <w:proofErr w:type="spellStart"/>
      <w:r w:rsidRPr="00DF3447">
        <w:rPr>
          <w:lang w:val="da-DK"/>
        </w:rPr>
        <w:t>neutropeni</w:t>
      </w:r>
      <w:proofErr w:type="spellEnd"/>
      <w:r w:rsidRPr="00DF3447">
        <w:rPr>
          <w:lang w:val="da-DK"/>
        </w:rPr>
        <w:t>.</w:t>
      </w:r>
    </w:p>
    <w:p w14:paraId="6207FBCC" w14:textId="77DA37FE" w:rsidR="00F74E14" w:rsidRPr="00DF3447" w:rsidRDefault="001C086A">
      <w:pPr>
        <w:pStyle w:val="Brdtekst"/>
        <w:ind w:left="112" w:right="1270"/>
        <w:rPr>
          <w:lang w:val="da-DK"/>
        </w:rPr>
      </w:pPr>
      <w:r w:rsidRPr="00DF3447">
        <w:rPr>
          <w:lang w:val="da-DK"/>
        </w:rPr>
        <w:t xml:space="preserve">Patienter med </w:t>
      </w:r>
      <w:proofErr w:type="spellStart"/>
      <w:r w:rsidRPr="00DF3447">
        <w:rPr>
          <w:lang w:val="da-DK"/>
        </w:rPr>
        <w:t>Crohns</w:t>
      </w:r>
      <w:proofErr w:type="spellEnd"/>
      <w:r w:rsidRPr="00DF3447">
        <w:rPr>
          <w:lang w:val="da-DK"/>
        </w:rPr>
        <w:t xml:space="preserve"> sygdom </w:t>
      </w:r>
      <w:r w:rsidR="001E1BB8">
        <w:rPr>
          <w:lang w:val="da-DK"/>
        </w:rPr>
        <w:t>bør</w:t>
      </w:r>
      <w:r w:rsidR="001E1BB8" w:rsidRPr="00DF3447">
        <w:rPr>
          <w:lang w:val="da-DK"/>
        </w:rPr>
        <w:t xml:space="preserve"> </w:t>
      </w:r>
      <w:r w:rsidRPr="00DF3447">
        <w:rPr>
          <w:lang w:val="da-DK"/>
        </w:rPr>
        <w:t xml:space="preserve">følges tæt, da der er observeret alvorlige </w:t>
      </w:r>
      <w:r w:rsidRPr="00DF3447">
        <w:rPr>
          <w:lang w:val="da-DK"/>
        </w:rPr>
        <w:lastRenderedPageBreak/>
        <w:t>forværringer af tarmsygdommen under behandling med IL17-hæm</w:t>
      </w:r>
      <w:r w:rsidR="00213B4C" w:rsidRPr="00DF3447">
        <w:rPr>
          <w:lang w:val="da-DK"/>
        </w:rPr>
        <w:t>m</w:t>
      </w:r>
      <w:r w:rsidRPr="00DF3447">
        <w:rPr>
          <w:lang w:val="da-DK"/>
        </w:rPr>
        <w:t>ere.</w:t>
      </w:r>
    </w:p>
    <w:p w14:paraId="67539BD8" w14:textId="77777777" w:rsidR="00F74E14" w:rsidRPr="00DF3447" w:rsidRDefault="00F74E14">
      <w:pPr>
        <w:pStyle w:val="Brdtekst"/>
        <w:spacing w:before="1"/>
        <w:rPr>
          <w:lang w:val="da-DK"/>
        </w:rPr>
      </w:pPr>
    </w:p>
    <w:p w14:paraId="0D8EAC67" w14:textId="77777777" w:rsidR="00F74E14" w:rsidRPr="00DF3447" w:rsidRDefault="001C086A">
      <w:pPr>
        <w:pStyle w:val="Brdtekst"/>
        <w:spacing w:line="275" w:lineRule="exact"/>
        <w:ind w:left="112"/>
        <w:rPr>
          <w:lang w:val="da-DK"/>
        </w:rPr>
      </w:pPr>
      <w:r w:rsidRPr="00DF3447">
        <w:rPr>
          <w:u w:val="single"/>
          <w:lang w:val="da-DK"/>
        </w:rPr>
        <w:t xml:space="preserve">For </w:t>
      </w:r>
      <w:proofErr w:type="spellStart"/>
      <w:r w:rsidRPr="00DF3447">
        <w:rPr>
          <w:u w:val="single"/>
          <w:lang w:val="da-DK"/>
        </w:rPr>
        <w:t>brodalumab</w:t>
      </w:r>
      <w:proofErr w:type="spellEnd"/>
      <w:r w:rsidRPr="00DF3447">
        <w:rPr>
          <w:u w:val="single"/>
          <w:lang w:val="da-DK"/>
        </w:rPr>
        <w:t>:</w:t>
      </w:r>
    </w:p>
    <w:p w14:paraId="3578935B" w14:textId="09A2FCF1" w:rsidR="00F74E14" w:rsidRPr="00DF3447" w:rsidRDefault="001C086A">
      <w:pPr>
        <w:pStyle w:val="Brdtekst"/>
        <w:ind w:left="112" w:right="318"/>
        <w:rPr>
          <w:lang w:val="da-DK"/>
        </w:rPr>
      </w:pPr>
      <w:r w:rsidRPr="00DF3447">
        <w:rPr>
          <w:lang w:val="da-DK"/>
        </w:rPr>
        <w:t xml:space="preserve">Risici ved behandlingen </w:t>
      </w:r>
      <w:r w:rsidR="001E1BB8">
        <w:rPr>
          <w:lang w:val="da-DK"/>
        </w:rPr>
        <w:t>bør</w:t>
      </w:r>
      <w:r w:rsidR="001E1BB8" w:rsidRPr="00DF3447">
        <w:rPr>
          <w:lang w:val="da-DK"/>
        </w:rPr>
        <w:t xml:space="preserve"> </w:t>
      </w:r>
      <w:r w:rsidRPr="00DF3447">
        <w:rPr>
          <w:lang w:val="da-DK"/>
        </w:rPr>
        <w:t xml:space="preserve">vurderes nøje for patienter med depression og/eller </w:t>
      </w:r>
      <w:proofErr w:type="spellStart"/>
      <w:r w:rsidRPr="00DF3447">
        <w:rPr>
          <w:lang w:val="da-DK"/>
        </w:rPr>
        <w:t>suicidaltanker</w:t>
      </w:r>
      <w:proofErr w:type="spellEnd"/>
      <w:r w:rsidRPr="00DF3447">
        <w:rPr>
          <w:lang w:val="da-DK"/>
        </w:rPr>
        <w:t xml:space="preserve"> eller - adfærd i anamnesen samt for patienter, som udvikler sådanne symptomer. Ved nye/forværrede symptomer på depression og/eller ved </w:t>
      </w:r>
      <w:proofErr w:type="spellStart"/>
      <w:r w:rsidRPr="00DF3447">
        <w:rPr>
          <w:lang w:val="da-DK"/>
        </w:rPr>
        <w:t>suicidaltanker</w:t>
      </w:r>
      <w:proofErr w:type="spellEnd"/>
      <w:r w:rsidRPr="00DF3447">
        <w:rPr>
          <w:lang w:val="da-DK"/>
        </w:rPr>
        <w:t xml:space="preserve">/-adfærd anbefales det at seponere </w:t>
      </w:r>
      <w:proofErr w:type="spellStart"/>
      <w:r w:rsidRPr="00DF3447">
        <w:rPr>
          <w:lang w:val="da-DK"/>
        </w:rPr>
        <w:t>brodalumab</w:t>
      </w:r>
      <w:proofErr w:type="spellEnd"/>
      <w:r w:rsidRPr="00DF3447">
        <w:rPr>
          <w:lang w:val="da-DK"/>
        </w:rPr>
        <w:t>.</w:t>
      </w:r>
      <w:r w:rsidR="00397D17">
        <w:rPr>
          <w:lang w:val="da-DK"/>
        </w:rPr>
        <w:t xml:space="preserve"> Der er ikke fastlagt årsagssammenhæng, men anbefales af sikkerhedshensyn pga. data fra de kliniske studier.</w:t>
      </w:r>
    </w:p>
    <w:p w14:paraId="6DB9DCC7" w14:textId="77777777" w:rsidR="00F74E14" w:rsidRPr="00DF3447" w:rsidRDefault="00F74E14">
      <w:pPr>
        <w:pStyle w:val="Brdtekst"/>
        <w:spacing w:before="10"/>
        <w:rPr>
          <w:lang w:val="da-DK"/>
        </w:rPr>
      </w:pPr>
    </w:p>
    <w:p w14:paraId="0E57AC84" w14:textId="77777777" w:rsidR="00F74E14" w:rsidRPr="00DF3447" w:rsidRDefault="001C086A">
      <w:pPr>
        <w:pStyle w:val="Brdtekst"/>
        <w:ind w:left="112"/>
        <w:rPr>
          <w:lang w:val="da-DK"/>
        </w:rPr>
      </w:pPr>
      <w:r w:rsidRPr="00DF3447">
        <w:rPr>
          <w:u w:val="single"/>
          <w:lang w:val="da-DK"/>
        </w:rPr>
        <w:t>IL12/23- og IL23-hæmmere:</w:t>
      </w:r>
    </w:p>
    <w:p w14:paraId="5481FEEC" w14:textId="77777777" w:rsidR="00F74E14" w:rsidRPr="00DF3447" w:rsidRDefault="001C086A">
      <w:pPr>
        <w:pStyle w:val="Brdtekst"/>
        <w:ind w:left="112"/>
        <w:rPr>
          <w:lang w:val="da-DK"/>
        </w:rPr>
      </w:pPr>
      <w:r w:rsidRPr="00DF3447">
        <w:rPr>
          <w:lang w:val="da-DK"/>
        </w:rPr>
        <w:t>Forsigtighed ved klinisk betydende infektioner.</w:t>
      </w:r>
    </w:p>
    <w:p w14:paraId="1A1D7BB4" w14:textId="77777777" w:rsidR="00F74E14" w:rsidRPr="00DF3447" w:rsidRDefault="00F74E14">
      <w:pPr>
        <w:pStyle w:val="Brdtekst"/>
        <w:rPr>
          <w:lang w:val="da-DK"/>
        </w:rPr>
      </w:pPr>
    </w:p>
    <w:p w14:paraId="781F654E" w14:textId="77777777" w:rsidR="00F74E14" w:rsidRPr="00DF3447" w:rsidRDefault="001C086A">
      <w:pPr>
        <w:pStyle w:val="Brdtekst"/>
        <w:ind w:left="112"/>
        <w:rPr>
          <w:lang w:val="da-DK"/>
        </w:rPr>
      </w:pPr>
      <w:proofErr w:type="spellStart"/>
      <w:r w:rsidRPr="00DF3447">
        <w:rPr>
          <w:u w:val="single"/>
          <w:lang w:val="da-DK"/>
        </w:rPr>
        <w:t>Apremilast</w:t>
      </w:r>
      <w:proofErr w:type="spellEnd"/>
      <w:r w:rsidRPr="00DF3447">
        <w:rPr>
          <w:u w:val="single"/>
          <w:lang w:val="da-DK"/>
        </w:rPr>
        <w:t>:</w:t>
      </w:r>
    </w:p>
    <w:p w14:paraId="677E5506" w14:textId="77777777" w:rsidR="00F74E14" w:rsidRPr="00DF3447" w:rsidRDefault="001C086A">
      <w:pPr>
        <w:pStyle w:val="Brdtekst"/>
        <w:ind w:left="112" w:right="537"/>
        <w:rPr>
          <w:lang w:val="da-DK"/>
        </w:rPr>
      </w:pPr>
      <w:r w:rsidRPr="00DF3447">
        <w:rPr>
          <w:lang w:val="da-DK"/>
        </w:rPr>
        <w:t>Undervægtige patienter skal have deres vægt kontrolleret regelmæssigt, da præparatet kan reducere appetit.</w:t>
      </w:r>
    </w:p>
    <w:p w14:paraId="7490B266" w14:textId="77777777" w:rsidR="00F74E14" w:rsidRPr="00DF3447" w:rsidRDefault="001C086A">
      <w:pPr>
        <w:pStyle w:val="Brdtekst"/>
        <w:ind w:left="112" w:right="97"/>
        <w:rPr>
          <w:lang w:val="da-DK"/>
        </w:rPr>
      </w:pPr>
      <w:r w:rsidRPr="00DF3447">
        <w:rPr>
          <w:lang w:val="da-DK"/>
        </w:rPr>
        <w:t xml:space="preserve">Fordele og risici ved behandling med </w:t>
      </w:r>
      <w:proofErr w:type="spellStart"/>
      <w:r w:rsidRPr="00DF3447">
        <w:rPr>
          <w:lang w:val="da-DK"/>
        </w:rPr>
        <w:t>apremilast</w:t>
      </w:r>
      <w:proofErr w:type="spellEnd"/>
      <w:r w:rsidRPr="00DF3447">
        <w:rPr>
          <w:lang w:val="da-DK"/>
        </w:rPr>
        <w:t xml:space="preserve"> skal vurderes nøje hos patienter med tidligere psykiske symptomer og hos patienter, der tager (andre) lægemidler, som kan forårsage psykiske symptomer.</w:t>
      </w:r>
    </w:p>
    <w:p w14:paraId="6E18F07B" w14:textId="77777777" w:rsidR="00F74E14" w:rsidRPr="00DF3447" w:rsidRDefault="001C086A">
      <w:pPr>
        <w:pStyle w:val="Brdtekst"/>
        <w:spacing w:before="1"/>
        <w:ind w:left="112"/>
        <w:rPr>
          <w:lang w:val="da-DK"/>
        </w:rPr>
      </w:pPr>
      <w:r w:rsidRPr="00DF3447">
        <w:rPr>
          <w:lang w:val="da-DK"/>
        </w:rPr>
        <w:t>Hvis patienterne lider af nytilkomne eller forværrede psykiske symptomer, eller hvis der konstateres selvmordstanker eller selvmordsadfærd, bør behandlingen seponeres.</w:t>
      </w:r>
    </w:p>
    <w:p w14:paraId="4DCEA195" w14:textId="77777777" w:rsidR="00F74E14" w:rsidRPr="00DF3447" w:rsidRDefault="00F74E14">
      <w:pPr>
        <w:pStyle w:val="Brdtekst"/>
        <w:rPr>
          <w:lang w:val="da-DK"/>
        </w:rPr>
      </w:pPr>
    </w:p>
    <w:p w14:paraId="0B19B78F" w14:textId="77777777" w:rsidR="00F74E14" w:rsidRPr="00DF3447" w:rsidRDefault="001C086A">
      <w:pPr>
        <w:pStyle w:val="Brdtekst"/>
        <w:ind w:left="112"/>
        <w:rPr>
          <w:lang w:val="da-DK"/>
        </w:rPr>
      </w:pPr>
      <w:proofErr w:type="spellStart"/>
      <w:r w:rsidRPr="00DF3447">
        <w:rPr>
          <w:u w:val="single"/>
          <w:lang w:val="da-DK"/>
        </w:rPr>
        <w:t>Dimethylfumarat</w:t>
      </w:r>
      <w:proofErr w:type="spellEnd"/>
      <w:r w:rsidRPr="00DF3447">
        <w:rPr>
          <w:u w:val="single"/>
          <w:lang w:val="da-DK"/>
        </w:rPr>
        <w:t>:</w:t>
      </w:r>
    </w:p>
    <w:p w14:paraId="74A3A809" w14:textId="77777777" w:rsidR="00F74E14" w:rsidRPr="00DF3447" w:rsidRDefault="001C086A">
      <w:pPr>
        <w:pStyle w:val="Brdtekst"/>
        <w:ind w:left="112" w:right="343"/>
        <w:rPr>
          <w:lang w:val="da-DK"/>
        </w:rPr>
      </w:pPr>
      <w:r w:rsidRPr="00DF3447">
        <w:rPr>
          <w:lang w:val="da-DK"/>
        </w:rPr>
        <w:t xml:space="preserve">Før behandlingsstart skal der foreligge en aktuel komplet blodtælling (herunder </w:t>
      </w:r>
      <w:proofErr w:type="spellStart"/>
      <w:r w:rsidRPr="00DF3447">
        <w:rPr>
          <w:lang w:val="da-DK"/>
        </w:rPr>
        <w:t>differentialtælling</w:t>
      </w:r>
      <w:proofErr w:type="spellEnd"/>
      <w:r w:rsidRPr="00DF3447">
        <w:rPr>
          <w:lang w:val="da-DK"/>
        </w:rPr>
        <w:t xml:space="preserve"> og </w:t>
      </w:r>
      <w:proofErr w:type="spellStart"/>
      <w:r w:rsidRPr="00DF3447">
        <w:rPr>
          <w:lang w:val="da-DK"/>
        </w:rPr>
        <w:t>trombocyttal</w:t>
      </w:r>
      <w:proofErr w:type="spellEnd"/>
      <w:r w:rsidRPr="00DF3447">
        <w:rPr>
          <w:lang w:val="da-DK"/>
        </w:rPr>
        <w:t xml:space="preserve">) og nyrefunktion (fx </w:t>
      </w:r>
      <w:proofErr w:type="spellStart"/>
      <w:r w:rsidRPr="00DF3447">
        <w:rPr>
          <w:lang w:val="da-DK"/>
        </w:rPr>
        <w:t>kreatinin</w:t>
      </w:r>
      <w:proofErr w:type="spellEnd"/>
      <w:r w:rsidRPr="00DF3447">
        <w:rPr>
          <w:lang w:val="da-DK"/>
        </w:rPr>
        <w:t xml:space="preserve">, </w:t>
      </w:r>
      <w:proofErr w:type="spellStart"/>
      <w:r w:rsidRPr="00DF3447">
        <w:rPr>
          <w:lang w:val="da-DK"/>
        </w:rPr>
        <w:t>carbamid</w:t>
      </w:r>
      <w:proofErr w:type="spellEnd"/>
      <w:r w:rsidRPr="00DF3447">
        <w:rPr>
          <w:lang w:val="da-DK"/>
        </w:rPr>
        <w:t xml:space="preserve"> og urinanalyse) og derefter hver 3. måned.</w:t>
      </w:r>
    </w:p>
    <w:p w14:paraId="45725F39" w14:textId="77777777" w:rsidR="00F74E14" w:rsidRPr="00DF3447" w:rsidRDefault="001C086A">
      <w:pPr>
        <w:pStyle w:val="Brdtekst"/>
        <w:ind w:left="112" w:right="264"/>
        <w:rPr>
          <w:lang w:val="da-DK"/>
        </w:rPr>
      </w:pPr>
      <w:r w:rsidRPr="00DF3447">
        <w:rPr>
          <w:lang w:val="da-DK"/>
        </w:rPr>
        <w:t xml:space="preserve">Patienter, som udvikler betydende </w:t>
      </w:r>
      <w:proofErr w:type="spellStart"/>
      <w:r w:rsidRPr="00DF3447">
        <w:rPr>
          <w:lang w:val="da-DK"/>
        </w:rPr>
        <w:t>lymfopeni</w:t>
      </w:r>
      <w:proofErr w:type="spellEnd"/>
      <w:r w:rsidRPr="00DF3447">
        <w:rPr>
          <w:lang w:val="da-DK"/>
        </w:rPr>
        <w:t xml:space="preserve"> (jf. indlægssedlen), bør overvåges, efter behandlingen er stoppet, indtil deres lymfocyttal er i det normale område.</w:t>
      </w:r>
    </w:p>
    <w:p w14:paraId="78A2E106" w14:textId="77777777" w:rsidR="00F74E14" w:rsidRPr="00DF3447" w:rsidRDefault="00F74E14">
      <w:pPr>
        <w:pStyle w:val="Brdtekst"/>
        <w:spacing w:before="7"/>
        <w:rPr>
          <w:lang w:val="da-DK"/>
        </w:rPr>
      </w:pPr>
    </w:p>
    <w:p w14:paraId="1B9FAEC6" w14:textId="77777777" w:rsidR="00F74E14" w:rsidRPr="00DF3447" w:rsidRDefault="001C086A">
      <w:pPr>
        <w:pStyle w:val="Brdtekst"/>
        <w:spacing w:before="90"/>
        <w:ind w:left="112" w:right="244"/>
        <w:rPr>
          <w:lang w:val="da-DK"/>
        </w:rPr>
      </w:pPr>
      <w:r w:rsidRPr="00DF3447">
        <w:rPr>
          <w:lang w:val="da-DK"/>
        </w:rPr>
        <w:t xml:space="preserve">Tilfælde af opportunistiske infektioner, især af progressiv multifokal </w:t>
      </w:r>
      <w:proofErr w:type="spellStart"/>
      <w:r w:rsidRPr="00DF3447">
        <w:rPr>
          <w:lang w:val="da-DK"/>
        </w:rPr>
        <w:t>leukoencephalopati</w:t>
      </w:r>
      <w:proofErr w:type="spellEnd"/>
      <w:r w:rsidRPr="00DF3447">
        <w:rPr>
          <w:lang w:val="da-DK"/>
        </w:rPr>
        <w:t xml:space="preserve"> (PML) er blevet indberettet med andre </w:t>
      </w:r>
      <w:proofErr w:type="spellStart"/>
      <w:r w:rsidRPr="00DF3447">
        <w:rPr>
          <w:lang w:val="da-DK"/>
        </w:rPr>
        <w:t>dimethylfumarat-holdige</w:t>
      </w:r>
      <w:proofErr w:type="spellEnd"/>
      <w:r w:rsidRPr="00DF3447">
        <w:rPr>
          <w:lang w:val="da-DK"/>
        </w:rPr>
        <w:t xml:space="preserve"> præparater.</w:t>
      </w:r>
    </w:p>
    <w:p w14:paraId="5800A4B1" w14:textId="77777777" w:rsidR="00F74E14" w:rsidRPr="00DF3447" w:rsidRDefault="00F74E14">
      <w:pPr>
        <w:pStyle w:val="Brdtekst"/>
        <w:rPr>
          <w:lang w:val="da-DK"/>
        </w:rPr>
      </w:pPr>
    </w:p>
    <w:p w14:paraId="2BBAEE12" w14:textId="77777777" w:rsidR="00F74E14" w:rsidRPr="00DF3447" w:rsidRDefault="001C086A">
      <w:pPr>
        <w:pStyle w:val="Overskrift1"/>
        <w:numPr>
          <w:ilvl w:val="0"/>
          <w:numId w:val="2"/>
        </w:numPr>
        <w:tabs>
          <w:tab w:val="left" w:pos="474"/>
        </w:tabs>
        <w:ind w:left="473" w:hanging="362"/>
      </w:pPr>
      <w:proofErr w:type="spellStart"/>
      <w:r w:rsidRPr="00DF3447">
        <w:t>Behandlingspause</w:t>
      </w:r>
      <w:proofErr w:type="spellEnd"/>
    </w:p>
    <w:p w14:paraId="3D4C053A" w14:textId="77777777" w:rsidR="00F74E14" w:rsidRPr="00DF3447" w:rsidRDefault="001C086A">
      <w:pPr>
        <w:pStyle w:val="Brdtekst"/>
        <w:ind w:left="112" w:right="357"/>
        <w:rPr>
          <w:lang w:val="da-DK"/>
        </w:rPr>
      </w:pPr>
      <w:r w:rsidRPr="00DF3447">
        <w:rPr>
          <w:lang w:val="da-DK"/>
        </w:rPr>
        <w:t>I forbindelse med svære infektioner, større kirurgiske indgreb og graviditet holdes behandlingspause. Varigheden af behandlingspausen vurderes individuelt ud fra årsag og lægemiddel. Typisk hvis man ønsker patienten er sikkert ude af behandling ventes 5 halveringstider.</w:t>
      </w:r>
    </w:p>
    <w:p w14:paraId="28714FFF" w14:textId="77777777" w:rsidR="00F74E14" w:rsidRPr="00DF3447" w:rsidRDefault="001C086A">
      <w:pPr>
        <w:pStyle w:val="Brdtekst"/>
        <w:spacing w:before="1"/>
        <w:ind w:left="112" w:right="344"/>
        <w:rPr>
          <w:lang w:val="da-DK"/>
        </w:rPr>
      </w:pPr>
      <w:r w:rsidRPr="00DF3447">
        <w:rPr>
          <w:lang w:val="da-DK"/>
        </w:rPr>
        <w:t>Vaccination med levende vacciner under behandling er kontraindiceret. Derimod er der ingen kontraindikation for ikke-levende vacciner. Det vides ikke, om vaccinationsresponset er nedsat under behandling.</w:t>
      </w:r>
    </w:p>
    <w:p w14:paraId="1E16BFE2" w14:textId="77777777" w:rsidR="00F74E14" w:rsidRPr="00DF3447" w:rsidRDefault="00F74E14">
      <w:pPr>
        <w:pStyle w:val="Brdtekst"/>
        <w:spacing w:before="11"/>
        <w:rPr>
          <w:lang w:val="da-DK"/>
        </w:rPr>
      </w:pPr>
    </w:p>
    <w:p w14:paraId="69CBF733" w14:textId="77777777" w:rsidR="00F74E14" w:rsidRPr="00DF3447" w:rsidRDefault="001C086A">
      <w:pPr>
        <w:pStyle w:val="Overskrift1"/>
        <w:numPr>
          <w:ilvl w:val="0"/>
          <w:numId w:val="2"/>
        </w:numPr>
        <w:tabs>
          <w:tab w:val="left" w:pos="474"/>
        </w:tabs>
        <w:ind w:left="473" w:hanging="362"/>
        <w:rPr>
          <w:lang w:val="da-DK"/>
        </w:rPr>
      </w:pPr>
      <w:r w:rsidRPr="00DF3447">
        <w:rPr>
          <w:lang w:val="da-DK"/>
        </w:rPr>
        <w:t>Kombination med anden behandling for</w:t>
      </w:r>
      <w:r w:rsidRPr="00DF3447">
        <w:rPr>
          <w:spacing w:val="-1"/>
          <w:lang w:val="da-DK"/>
        </w:rPr>
        <w:t xml:space="preserve"> </w:t>
      </w:r>
      <w:r w:rsidRPr="00DF3447">
        <w:rPr>
          <w:lang w:val="da-DK"/>
        </w:rPr>
        <w:t>psoriasis</w:t>
      </w:r>
    </w:p>
    <w:p w14:paraId="50D73EE9" w14:textId="77777777" w:rsidR="00F74E14" w:rsidRPr="00DF3447" w:rsidRDefault="001C086A">
      <w:pPr>
        <w:pStyle w:val="Brdtekst"/>
        <w:spacing w:before="1"/>
        <w:ind w:left="112" w:right="303"/>
      </w:pPr>
      <w:r w:rsidRPr="00DF3447">
        <w:rPr>
          <w:lang w:val="da-DK"/>
        </w:rPr>
        <w:t xml:space="preserve">Sædvanligvis gives behandlinger, som monoterapi, men flere af de biologiske lægemidler kan i svære tilfælde med fordel gives sammen med methotrexat i standarddoser. </w:t>
      </w:r>
      <w:proofErr w:type="gramStart"/>
      <w:r w:rsidRPr="00DF3447">
        <w:t>Infliximab,</w:t>
      </w:r>
      <w:proofErr w:type="gramEnd"/>
      <w:r w:rsidRPr="00DF3447">
        <w:t xml:space="preserve"> gives </w:t>
      </w:r>
      <w:proofErr w:type="spellStart"/>
      <w:r w:rsidRPr="00DF3447">
        <w:t>ofte</w:t>
      </w:r>
      <w:proofErr w:type="spellEnd"/>
      <w:r w:rsidRPr="00DF3447">
        <w:t xml:space="preserve"> </w:t>
      </w:r>
      <w:proofErr w:type="spellStart"/>
      <w:r w:rsidRPr="00DF3447">
        <w:t>sammen</w:t>
      </w:r>
      <w:proofErr w:type="spellEnd"/>
      <w:r w:rsidRPr="00DF3447">
        <w:t xml:space="preserve"> med </w:t>
      </w:r>
      <w:proofErr w:type="spellStart"/>
      <w:r w:rsidRPr="00DF3447">
        <w:t>methotrexat</w:t>
      </w:r>
      <w:proofErr w:type="spellEnd"/>
      <w:r w:rsidRPr="00DF3447">
        <w:t>.</w:t>
      </w:r>
    </w:p>
    <w:p w14:paraId="6C95533F" w14:textId="77777777" w:rsidR="00F74E14" w:rsidRPr="00DF3447" w:rsidRDefault="00F74E14">
      <w:pPr>
        <w:pStyle w:val="Brdtekst"/>
      </w:pPr>
    </w:p>
    <w:p w14:paraId="37A79997" w14:textId="77777777" w:rsidR="00F74E14" w:rsidRPr="00DF3447" w:rsidRDefault="00F74E14">
      <w:pPr>
        <w:pStyle w:val="Brdtekst"/>
      </w:pPr>
    </w:p>
    <w:p w14:paraId="33BBF984" w14:textId="77777777" w:rsidR="00F74E14" w:rsidRPr="00DF3447" w:rsidRDefault="001C086A">
      <w:pPr>
        <w:pStyle w:val="Overskrift1"/>
        <w:numPr>
          <w:ilvl w:val="0"/>
          <w:numId w:val="2"/>
        </w:numPr>
        <w:tabs>
          <w:tab w:val="left" w:pos="474"/>
        </w:tabs>
        <w:ind w:left="473" w:hanging="362"/>
      </w:pPr>
      <w:proofErr w:type="spellStart"/>
      <w:r w:rsidRPr="00DF3447">
        <w:t>Graviditet</w:t>
      </w:r>
      <w:proofErr w:type="spellEnd"/>
      <w:r w:rsidRPr="00DF3447">
        <w:t xml:space="preserve"> </w:t>
      </w:r>
      <w:proofErr w:type="spellStart"/>
      <w:r w:rsidRPr="00DF3447">
        <w:t>og</w:t>
      </w:r>
      <w:proofErr w:type="spellEnd"/>
      <w:r w:rsidRPr="00DF3447">
        <w:rPr>
          <w:spacing w:val="-1"/>
        </w:rPr>
        <w:t xml:space="preserve"> </w:t>
      </w:r>
      <w:proofErr w:type="spellStart"/>
      <w:r w:rsidRPr="00DF3447">
        <w:t>amning</w:t>
      </w:r>
      <w:proofErr w:type="spellEnd"/>
    </w:p>
    <w:p w14:paraId="4D60179E" w14:textId="77777777" w:rsidR="00F74E14" w:rsidRPr="00DF3447" w:rsidRDefault="001C086A">
      <w:pPr>
        <w:pStyle w:val="Brdtekst"/>
        <w:ind w:left="112" w:right="138"/>
        <w:rPr>
          <w:lang w:val="da-DK"/>
        </w:rPr>
      </w:pPr>
      <w:r w:rsidRPr="00DF3447">
        <w:rPr>
          <w:lang w:val="da-DK"/>
        </w:rPr>
        <w:t xml:space="preserve">Ingen af lægemidlerne er godkendt til behandling under graviditet og amning. Som hovedregel bør kvinder i den fertile alder anbefales at anvende sikker </w:t>
      </w:r>
      <w:proofErr w:type="spellStart"/>
      <w:r w:rsidRPr="00DF3447">
        <w:rPr>
          <w:lang w:val="da-DK"/>
        </w:rPr>
        <w:t>kontraception</w:t>
      </w:r>
      <w:proofErr w:type="spellEnd"/>
      <w:r w:rsidRPr="00DF3447">
        <w:rPr>
          <w:lang w:val="da-DK"/>
        </w:rPr>
        <w:t xml:space="preserve"> under behandling og fortsætte med at anvende </w:t>
      </w:r>
      <w:proofErr w:type="spellStart"/>
      <w:r w:rsidRPr="00DF3447">
        <w:rPr>
          <w:lang w:val="da-DK"/>
        </w:rPr>
        <w:t>kontraception</w:t>
      </w:r>
      <w:proofErr w:type="spellEnd"/>
      <w:r w:rsidRPr="00DF3447">
        <w:rPr>
          <w:lang w:val="da-DK"/>
        </w:rPr>
        <w:t xml:space="preserve"> i mindst 5 halveringstider efter sidste behandling.</w:t>
      </w:r>
    </w:p>
    <w:p w14:paraId="7A76D9FE" w14:textId="4CCE7228" w:rsidR="00F74E14" w:rsidRPr="00DF3447" w:rsidRDefault="001C086A">
      <w:pPr>
        <w:pStyle w:val="Brdtekst"/>
        <w:ind w:left="112"/>
        <w:rPr>
          <w:lang w:val="da-DK"/>
        </w:rPr>
      </w:pPr>
      <w:r w:rsidRPr="00DF3447">
        <w:rPr>
          <w:lang w:val="da-DK"/>
        </w:rPr>
        <w:t xml:space="preserve">Risikoen for moderen ved aktiv inflammatorisk tilstand under graviditet afvejes i forhold til </w:t>
      </w:r>
      <w:r w:rsidRPr="00DF3447">
        <w:rPr>
          <w:lang w:val="da-DK"/>
        </w:rPr>
        <w:lastRenderedPageBreak/>
        <w:t xml:space="preserve">potentiel skade effekt på fosteret ved medicinsk behandling. Biologisk behandling under graviditet </w:t>
      </w:r>
      <w:r w:rsidR="001E1BB8">
        <w:rPr>
          <w:lang w:val="da-DK"/>
        </w:rPr>
        <w:t>bør</w:t>
      </w:r>
      <w:r w:rsidR="001E1BB8" w:rsidRPr="00DF3447">
        <w:rPr>
          <w:lang w:val="da-DK"/>
        </w:rPr>
        <w:t xml:space="preserve"> </w:t>
      </w:r>
      <w:r w:rsidRPr="00DF3447">
        <w:rPr>
          <w:lang w:val="da-DK"/>
        </w:rPr>
        <w:t xml:space="preserve">være en konference beslutning samt være </w:t>
      </w:r>
      <w:proofErr w:type="spellStart"/>
      <w:r w:rsidRPr="00DF3447">
        <w:rPr>
          <w:lang w:val="da-DK"/>
        </w:rPr>
        <w:t>forudgået</w:t>
      </w:r>
      <w:proofErr w:type="spellEnd"/>
      <w:r w:rsidRPr="00DF3447">
        <w:rPr>
          <w:lang w:val="da-DK"/>
        </w:rPr>
        <w:t xml:space="preserve"> af omhyggelig rådgivning af patient og partner.</w:t>
      </w:r>
    </w:p>
    <w:p w14:paraId="3C95DE0F" w14:textId="77777777" w:rsidR="00F74E14" w:rsidRPr="00DF3447" w:rsidRDefault="001C086A">
      <w:pPr>
        <w:pStyle w:val="Brdtekst"/>
        <w:spacing w:before="3" w:line="237" w:lineRule="auto"/>
        <w:ind w:left="112"/>
        <w:rPr>
          <w:lang w:val="da-DK"/>
        </w:rPr>
      </w:pPr>
      <w:r w:rsidRPr="00DF3447">
        <w:rPr>
          <w:lang w:val="da-DK"/>
        </w:rPr>
        <w:t>Til fertile kvinder med graviditetsplaner vælges lægemidler med lille placenta passage for at reducere risikoen for mulige skadelige bivirkninger hos foster/barn.</w:t>
      </w:r>
    </w:p>
    <w:p w14:paraId="5C74B7CB" w14:textId="77777777" w:rsidR="00F74E14" w:rsidRPr="00DF3447" w:rsidRDefault="001C086A">
      <w:pPr>
        <w:pStyle w:val="Brdtekst"/>
        <w:spacing w:before="1"/>
        <w:ind w:left="112" w:right="454"/>
        <w:rPr>
          <w:lang w:val="da-DK"/>
        </w:rPr>
      </w:pPr>
      <w:r w:rsidRPr="00DF3447">
        <w:rPr>
          <w:lang w:val="da-DK"/>
        </w:rPr>
        <w:t xml:space="preserve">Der er publiceret flere tusinde første trimester ekspositioner for </w:t>
      </w:r>
      <w:proofErr w:type="gramStart"/>
      <w:r w:rsidRPr="00DF3447">
        <w:rPr>
          <w:lang w:val="da-DK"/>
        </w:rPr>
        <w:t>TNF hæmmer</w:t>
      </w:r>
      <w:proofErr w:type="gramEnd"/>
      <w:r w:rsidRPr="00DF3447">
        <w:rPr>
          <w:lang w:val="da-DK"/>
        </w:rPr>
        <w:t xml:space="preserve">. Der foreligger ikke særskilte data på </w:t>
      </w:r>
      <w:proofErr w:type="spellStart"/>
      <w:r w:rsidRPr="00DF3447">
        <w:rPr>
          <w:lang w:val="da-DK"/>
        </w:rPr>
        <w:t>biosimilære</w:t>
      </w:r>
      <w:proofErr w:type="spellEnd"/>
      <w:r w:rsidRPr="00DF3447">
        <w:rPr>
          <w:lang w:val="da-DK"/>
        </w:rPr>
        <w:t xml:space="preserve"> biologiske lægemidler. Der foreligger kun begrænset dokumentation vedrørende ikke-TNF biologiske behandlinger, hvorfor patienter med graviditetsønske bør skiftes til </w:t>
      </w:r>
      <w:proofErr w:type="spellStart"/>
      <w:r w:rsidRPr="00DF3447">
        <w:rPr>
          <w:lang w:val="da-DK"/>
        </w:rPr>
        <w:t>anti</w:t>
      </w:r>
      <w:proofErr w:type="spellEnd"/>
      <w:r w:rsidRPr="00DF3447">
        <w:rPr>
          <w:lang w:val="da-DK"/>
        </w:rPr>
        <w:t>-</w:t>
      </w:r>
      <w:proofErr w:type="gramStart"/>
      <w:r w:rsidRPr="00DF3447">
        <w:rPr>
          <w:lang w:val="da-DK"/>
        </w:rPr>
        <w:t>TNF behandling</w:t>
      </w:r>
      <w:proofErr w:type="gramEnd"/>
      <w:r w:rsidRPr="00DF3447">
        <w:rPr>
          <w:lang w:val="da-DK"/>
        </w:rPr>
        <w:t xml:space="preserve"> før konception.</w:t>
      </w:r>
    </w:p>
    <w:p w14:paraId="04BBD87E" w14:textId="43618FBC" w:rsidR="00F74E14" w:rsidRPr="00DF3447" w:rsidRDefault="004C4926">
      <w:pPr>
        <w:pStyle w:val="Brdtekst"/>
        <w:ind w:left="112"/>
        <w:rPr>
          <w:lang w:val="da-DK"/>
        </w:rPr>
      </w:pPr>
      <w:r w:rsidRPr="00DF3447">
        <w:rPr>
          <w:lang w:val="da-DK"/>
        </w:rPr>
        <w:t xml:space="preserve">Behandling med </w:t>
      </w:r>
      <w:proofErr w:type="gramStart"/>
      <w:r w:rsidR="001C086A" w:rsidRPr="00DF3447">
        <w:rPr>
          <w:lang w:val="da-DK"/>
        </w:rPr>
        <w:t>TNF hæmmer</w:t>
      </w:r>
      <w:proofErr w:type="gramEnd"/>
      <w:r w:rsidR="001C086A" w:rsidRPr="00DF3447">
        <w:rPr>
          <w:lang w:val="da-DK"/>
        </w:rPr>
        <w:t xml:space="preserve"> kan fortsætte indtil graviditeten konstateres, hvor behandling generelt anbefales seponeret, eller t</w:t>
      </w:r>
      <w:r w:rsidRPr="00DF3447">
        <w:rPr>
          <w:lang w:val="da-DK"/>
        </w:rPr>
        <w:t>r</w:t>
      </w:r>
      <w:r w:rsidR="001C086A" w:rsidRPr="00DF3447">
        <w:rPr>
          <w:lang w:val="da-DK"/>
        </w:rPr>
        <w:t>appes ned til laveste mulige dosis, der kan fastholde remission.</w:t>
      </w:r>
    </w:p>
    <w:p w14:paraId="356D02E9" w14:textId="10D3EEB9" w:rsidR="00F74E14" w:rsidRPr="00DF3447" w:rsidRDefault="001C086A">
      <w:pPr>
        <w:pStyle w:val="Brdtekst"/>
        <w:ind w:left="112" w:right="125"/>
        <w:rPr>
          <w:lang w:val="da-DK"/>
        </w:rPr>
      </w:pPr>
      <w:r w:rsidRPr="00DF3447">
        <w:rPr>
          <w:lang w:val="da-DK"/>
        </w:rPr>
        <w:t xml:space="preserve">Ved moderat til høj sygdomsaktivitet, og hvor der ikke er andre behandlingsmuligheder, kan TNF hæmmer fortsættes i graviditeten. Ved svær sygdomsaktivitet kan </w:t>
      </w:r>
      <w:proofErr w:type="spellStart"/>
      <w:r w:rsidRPr="00DF3447">
        <w:rPr>
          <w:lang w:val="da-DK"/>
        </w:rPr>
        <w:t>certolizumab</w:t>
      </w:r>
      <w:proofErr w:type="spellEnd"/>
      <w:r w:rsidRPr="00DF3447">
        <w:rPr>
          <w:lang w:val="da-DK"/>
        </w:rPr>
        <w:t xml:space="preserve"> </w:t>
      </w:r>
      <w:proofErr w:type="spellStart"/>
      <w:r w:rsidRPr="00DF3447">
        <w:rPr>
          <w:lang w:val="da-DK"/>
        </w:rPr>
        <w:t>pegol</w:t>
      </w:r>
      <w:proofErr w:type="spellEnd"/>
      <w:r w:rsidRPr="00DF3447">
        <w:rPr>
          <w:lang w:val="da-DK"/>
        </w:rPr>
        <w:t xml:space="preserve"> pga. væsentlig lavere placenta passage end øvrige TNF </w:t>
      </w:r>
      <w:proofErr w:type="spellStart"/>
      <w:r w:rsidRPr="00DF3447">
        <w:rPr>
          <w:lang w:val="da-DK"/>
        </w:rPr>
        <w:t>hæmmere</w:t>
      </w:r>
      <w:proofErr w:type="spellEnd"/>
      <w:r w:rsidRPr="00DF3447">
        <w:rPr>
          <w:lang w:val="da-DK"/>
        </w:rPr>
        <w:t xml:space="preserve"> overvejes anvendt i hele graviditeten. Alternativ kan anvendes </w:t>
      </w:r>
      <w:proofErr w:type="spellStart"/>
      <w:r w:rsidRPr="00DF3447">
        <w:rPr>
          <w:lang w:val="da-DK"/>
        </w:rPr>
        <w:t>adalimumab</w:t>
      </w:r>
      <w:proofErr w:type="spellEnd"/>
      <w:r w:rsidRPr="00DF3447">
        <w:rPr>
          <w:lang w:val="da-DK"/>
        </w:rPr>
        <w:t xml:space="preserve">, som </w:t>
      </w:r>
      <w:r w:rsidR="004C4926" w:rsidRPr="00DF3447">
        <w:rPr>
          <w:lang w:val="da-DK"/>
        </w:rPr>
        <w:t xml:space="preserve">passerer </w:t>
      </w:r>
      <w:r w:rsidRPr="00DF3447">
        <w:rPr>
          <w:lang w:val="da-DK"/>
        </w:rPr>
        <w:t xml:space="preserve">placenta, men hvor der er kendskab til ca. 2100 graviditeter, hvor mor er behandlet med </w:t>
      </w:r>
      <w:proofErr w:type="spellStart"/>
      <w:r w:rsidRPr="00DF3447">
        <w:rPr>
          <w:lang w:val="da-DK"/>
        </w:rPr>
        <w:t>adalimumab</w:t>
      </w:r>
      <w:proofErr w:type="spellEnd"/>
      <w:r w:rsidRPr="00DF3447">
        <w:rPr>
          <w:lang w:val="da-DK"/>
        </w:rPr>
        <w:t xml:space="preserve"> uden man har fundet øget forekomst af misdannelser hos barnet.</w:t>
      </w:r>
    </w:p>
    <w:p w14:paraId="321573C5" w14:textId="77777777" w:rsidR="00F74E14" w:rsidRPr="00DF3447" w:rsidRDefault="001C086A">
      <w:pPr>
        <w:pStyle w:val="Brdtekst"/>
        <w:ind w:left="112" w:right="510"/>
        <w:rPr>
          <w:lang w:val="da-DK"/>
        </w:rPr>
      </w:pPr>
      <w:r w:rsidRPr="00DF3447">
        <w:rPr>
          <w:lang w:val="da-DK"/>
        </w:rPr>
        <w:t xml:space="preserve">Hvis </w:t>
      </w:r>
      <w:proofErr w:type="spellStart"/>
      <w:r w:rsidRPr="00DF3447">
        <w:rPr>
          <w:lang w:val="da-DK"/>
        </w:rPr>
        <w:t>anti</w:t>
      </w:r>
      <w:proofErr w:type="spellEnd"/>
      <w:r w:rsidRPr="00DF3447">
        <w:rPr>
          <w:lang w:val="da-DK"/>
        </w:rPr>
        <w:t>-TNF gives under hele graviditeten bør man vente mindst 5 måneder efter moderens sidste behandling til der eventuelt gives levende vacciner til barnet.</w:t>
      </w:r>
    </w:p>
    <w:p w14:paraId="7C071F35" w14:textId="77777777" w:rsidR="00F74E14" w:rsidRPr="00DF3447" w:rsidRDefault="00F74E14">
      <w:pPr>
        <w:pStyle w:val="Brdtekst"/>
        <w:rPr>
          <w:lang w:val="da-DK"/>
        </w:rPr>
      </w:pPr>
    </w:p>
    <w:p w14:paraId="384541DF" w14:textId="77777777" w:rsidR="00F74E14" w:rsidRPr="00DF3447" w:rsidRDefault="001C086A">
      <w:pPr>
        <w:pStyle w:val="Brdtekst"/>
        <w:spacing w:before="1"/>
        <w:ind w:left="112"/>
        <w:rPr>
          <w:lang w:val="da-DK"/>
        </w:rPr>
      </w:pPr>
      <w:r w:rsidRPr="00DF3447">
        <w:rPr>
          <w:lang w:val="da-DK"/>
        </w:rPr>
        <w:t xml:space="preserve">Både </w:t>
      </w:r>
      <w:proofErr w:type="spellStart"/>
      <w:r w:rsidRPr="00DF3447">
        <w:rPr>
          <w:lang w:val="da-DK"/>
        </w:rPr>
        <w:t>certolizumab</w:t>
      </w:r>
      <w:proofErr w:type="spellEnd"/>
      <w:r w:rsidRPr="00DF3447">
        <w:rPr>
          <w:lang w:val="da-DK"/>
        </w:rPr>
        <w:t xml:space="preserve"> </w:t>
      </w:r>
      <w:proofErr w:type="spellStart"/>
      <w:r w:rsidRPr="00DF3447">
        <w:rPr>
          <w:lang w:val="da-DK"/>
        </w:rPr>
        <w:t>pegol</w:t>
      </w:r>
      <w:proofErr w:type="spellEnd"/>
      <w:r w:rsidRPr="00DF3447">
        <w:rPr>
          <w:lang w:val="da-DK"/>
        </w:rPr>
        <w:t xml:space="preserve"> og </w:t>
      </w:r>
      <w:proofErr w:type="spellStart"/>
      <w:r w:rsidRPr="00DF3447">
        <w:rPr>
          <w:lang w:val="da-DK"/>
        </w:rPr>
        <w:t>adalimumab</w:t>
      </w:r>
      <w:proofErr w:type="spellEnd"/>
      <w:r w:rsidRPr="00DF3447">
        <w:rPr>
          <w:lang w:val="da-DK"/>
        </w:rPr>
        <w:t xml:space="preserve"> kan anvendes under amning.</w:t>
      </w:r>
    </w:p>
    <w:p w14:paraId="53FCC72D" w14:textId="77777777" w:rsidR="00F74E14" w:rsidRPr="00DF3447" w:rsidRDefault="00F74E14">
      <w:pPr>
        <w:pStyle w:val="Brdtekst"/>
        <w:spacing w:before="11"/>
        <w:rPr>
          <w:lang w:val="da-DK"/>
        </w:rPr>
      </w:pPr>
    </w:p>
    <w:p w14:paraId="3A50CEBE" w14:textId="77777777" w:rsidR="00203214" w:rsidRDefault="001C086A" w:rsidP="00DF3447">
      <w:pPr>
        <w:rPr>
          <w:sz w:val="24"/>
          <w:szCs w:val="24"/>
          <w:lang w:val="da-DK"/>
        </w:rPr>
      </w:pPr>
      <w:r w:rsidRPr="00DF3447">
        <w:rPr>
          <w:sz w:val="24"/>
          <w:szCs w:val="24"/>
          <w:lang w:val="da-DK"/>
        </w:rPr>
        <w:t xml:space="preserve">Mandlig reproduktion og biologisk behandling: Der er ikke påvist hverken negativ påvirkning af TNF hæmmer på sædkvalitet, eller øget risiko for skadelige bivirkninger hos foster/barn, i de foreliggende studier. For de øvrige biologiske behandlinger </w:t>
      </w:r>
      <w:r w:rsidR="004B7CC0" w:rsidRPr="00DF3447">
        <w:rPr>
          <w:sz w:val="24"/>
          <w:szCs w:val="24"/>
          <w:lang w:val="da-DK"/>
        </w:rPr>
        <w:t>haves</w:t>
      </w:r>
      <w:r w:rsidRPr="00DF3447">
        <w:rPr>
          <w:sz w:val="24"/>
          <w:szCs w:val="24"/>
          <w:lang w:val="da-DK"/>
        </w:rPr>
        <w:t xml:space="preserve"> ikke data</w:t>
      </w:r>
      <w:r w:rsidR="006C3079" w:rsidRPr="00DF3447">
        <w:rPr>
          <w:sz w:val="24"/>
          <w:szCs w:val="24"/>
          <w:lang w:val="da-DK"/>
        </w:rPr>
        <w:t>.</w:t>
      </w:r>
    </w:p>
    <w:p w14:paraId="3F2F3498" w14:textId="77777777" w:rsidR="00203214" w:rsidRDefault="00203214" w:rsidP="00DF3447">
      <w:pPr>
        <w:rPr>
          <w:sz w:val="24"/>
          <w:szCs w:val="24"/>
          <w:lang w:val="da-DK"/>
        </w:rPr>
      </w:pPr>
    </w:p>
    <w:p w14:paraId="3C6CFF8C" w14:textId="3A2206AB" w:rsidR="00F74E14" w:rsidRPr="00894324" w:rsidRDefault="001C086A" w:rsidP="00894324">
      <w:pPr>
        <w:pStyle w:val="Listeafsnit"/>
        <w:numPr>
          <w:ilvl w:val="0"/>
          <w:numId w:val="2"/>
        </w:numPr>
        <w:rPr>
          <w:b/>
          <w:bCs/>
          <w:sz w:val="24"/>
          <w:szCs w:val="24"/>
          <w:lang w:val="da-DK"/>
        </w:rPr>
      </w:pPr>
      <w:r w:rsidRPr="00894324">
        <w:rPr>
          <w:b/>
          <w:bCs/>
          <w:sz w:val="24"/>
          <w:szCs w:val="24"/>
          <w:lang w:val="da-DK"/>
        </w:rPr>
        <w:t>Patientinformation</w:t>
      </w:r>
    </w:p>
    <w:p w14:paraId="3C9481AB" w14:textId="77777777" w:rsidR="00F74E14" w:rsidRPr="00894324" w:rsidRDefault="001C086A" w:rsidP="006C3079">
      <w:pPr>
        <w:rPr>
          <w:sz w:val="24"/>
          <w:szCs w:val="24"/>
          <w:lang w:val="da-DK"/>
        </w:rPr>
      </w:pPr>
      <w:r w:rsidRPr="00894324">
        <w:rPr>
          <w:sz w:val="24"/>
          <w:szCs w:val="24"/>
          <w:lang w:val="da-DK"/>
        </w:rPr>
        <w:t>Patienten informeres mundtligt og skriftligt om behandlingen, herunder om risici. Hertil kan anvendes skriftligt materiale udarbejdet af DDS, producenten eller lægen.</w:t>
      </w:r>
    </w:p>
    <w:p w14:paraId="283F4581" w14:textId="77777777" w:rsidR="00F74E14" w:rsidRPr="00DF3447" w:rsidRDefault="001C086A" w:rsidP="006C3079">
      <w:pPr>
        <w:rPr>
          <w:sz w:val="24"/>
          <w:szCs w:val="24"/>
          <w:lang w:val="da-DK"/>
        </w:rPr>
      </w:pPr>
      <w:r w:rsidRPr="00894324">
        <w:rPr>
          <w:sz w:val="24"/>
          <w:szCs w:val="24"/>
          <w:lang w:val="da-DK"/>
        </w:rPr>
        <w:t>Det er vigtigt, at der</w:t>
      </w:r>
      <w:r w:rsidRPr="00DF3447">
        <w:rPr>
          <w:sz w:val="24"/>
          <w:szCs w:val="24"/>
          <w:lang w:val="da-DK"/>
        </w:rPr>
        <w:t xml:space="preserve"> afsættes separat tid til vejledning i injektionsteknik og opbevaring af medicin. Dette kan foretages af læge eller specialuddannet</w:t>
      </w:r>
      <w:r w:rsidRPr="00DF3447">
        <w:rPr>
          <w:spacing w:val="-2"/>
          <w:sz w:val="24"/>
          <w:szCs w:val="24"/>
          <w:lang w:val="da-DK"/>
        </w:rPr>
        <w:t xml:space="preserve"> </w:t>
      </w:r>
      <w:r w:rsidRPr="00DF3447">
        <w:rPr>
          <w:sz w:val="24"/>
          <w:szCs w:val="24"/>
          <w:lang w:val="da-DK"/>
        </w:rPr>
        <w:t>sygeplejerske.</w:t>
      </w:r>
    </w:p>
    <w:p w14:paraId="1E5A2B2D" w14:textId="77777777" w:rsidR="00F74E14" w:rsidRPr="00DF3447" w:rsidRDefault="001C086A" w:rsidP="00894324">
      <w:pPr>
        <w:pStyle w:val="Brdtekst"/>
        <w:spacing w:before="1"/>
        <w:ind w:right="543"/>
        <w:rPr>
          <w:lang w:val="da-DK"/>
        </w:rPr>
      </w:pPr>
      <w:r w:rsidRPr="00DF3447">
        <w:rPr>
          <w:lang w:val="da-DK"/>
        </w:rPr>
        <w:t xml:space="preserve">Patienten informeres om, at årlig influenza vaccination anbefales. </w:t>
      </w:r>
      <w:proofErr w:type="gramStart"/>
      <w:r w:rsidRPr="00DF3447">
        <w:rPr>
          <w:lang w:val="da-DK"/>
        </w:rPr>
        <w:t>Endvidere</w:t>
      </w:r>
      <w:proofErr w:type="gramEnd"/>
      <w:r w:rsidRPr="00DF3447">
        <w:rPr>
          <w:lang w:val="da-DK"/>
        </w:rPr>
        <w:t xml:space="preserve"> anbefales det, at egen læge informeres skriftligt om, at patienten er sat i behandling med et af de ovennævnte lægemidler.</w:t>
      </w:r>
    </w:p>
    <w:p w14:paraId="04371180" w14:textId="77777777" w:rsidR="00F74E14" w:rsidRPr="00DF3447" w:rsidRDefault="00F74E14">
      <w:pPr>
        <w:pStyle w:val="Brdtekst"/>
        <w:rPr>
          <w:lang w:val="da-DK"/>
        </w:rPr>
      </w:pPr>
    </w:p>
    <w:p w14:paraId="5963428E" w14:textId="77777777" w:rsidR="00F74E14" w:rsidRPr="00DF3447" w:rsidRDefault="001C086A">
      <w:pPr>
        <w:pStyle w:val="Overskrift1"/>
        <w:numPr>
          <w:ilvl w:val="0"/>
          <w:numId w:val="2"/>
        </w:numPr>
        <w:tabs>
          <w:tab w:val="left" w:pos="474"/>
        </w:tabs>
        <w:ind w:left="473" w:hanging="362"/>
      </w:pPr>
      <w:proofErr w:type="spellStart"/>
      <w:r w:rsidRPr="00DF3447">
        <w:t>Biosimilære</w:t>
      </w:r>
      <w:proofErr w:type="spellEnd"/>
      <w:r w:rsidRPr="00DF3447">
        <w:rPr>
          <w:spacing w:val="-2"/>
        </w:rPr>
        <w:t xml:space="preserve"> </w:t>
      </w:r>
      <w:proofErr w:type="spellStart"/>
      <w:r w:rsidRPr="00DF3447">
        <w:t>lægemidler</w:t>
      </w:r>
      <w:proofErr w:type="spellEnd"/>
    </w:p>
    <w:p w14:paraId="4FFD398C" w14:textId="4721031B" w:rsidR="00F74E14" w:rsidRPr="00DF3447" w:rsidRDefault="001C086A">
      <w:pPr>
        <w:pStyle w:val="Brdtekst"/>
        <w:spacing w:before="1"/>
        <w:ind w:left="112" w:right="104"/>
        <w:rPr>
          <w:lang w:val="da-DK"/>
        </w:rPr>
      </w:pPr>
      <w:r w:rsidRPr="00F044A7">
        <w:rPr>
          <w:lang w:val="da-DK"/>
        </w:rPr>
        <w:t xml:space="preserve">Der er foreløbig </w:t>
      </w:r>
      <w:r w:rsidR="00490A8B" w:rsidRPr="00F044A7">
        <w:rPr>
          <w:lang w:val="da-DK"/>
        </w:rPr>
        <w:t xml:space="preserve">flere </w:t>
      </w:r>
      <w:proofErr w:type="spellStart"/>
      <w:r w:rsidRPr="00F044A7">
        <w:rPr>
          <w:lang w:val="da-DK"/>
        </w:rPr>
        <w:t>biosimilære</w:t>
      </w:r>
      <w:proofErr w:type="spellEnd"/>
      <w:r w:rsidRPr="00F044A7">
        <w:rPr>
          <w:lang w:val="da-DK"/>
        </w:rPr>
        <w:t xml:space="preserve"> </w:t>
      </w:r>
      <w:proofErr w:type="spellStart"/>
      <w:r w:rsidRPr="00F044A7">
        <w:rPr>
          <w:lang w:val="da-DK"/>
        </w:rPr>
        <w:t>infliximab</w:t>
      </w:r>
      <w:proofErr w:type="spellEnd"/>
      <w:r w:rsidR="00035B4E" w:rsidRPr="00F044A7">
        <w:rPr>
          <w:lang w:val="da-DK"/>
        </w:rPr>
        <w:t xml:space="preserve">, </w:t>
      </w:r>
      <w:proofErr w:type="spellStart"/>
      <w:r w:rsidRPr="00F044A7">
        <w:rPr>
          <w:lang w:val="da-DK"/>
        </w:rPr>
        <w:t>adalimumab</w:t>
      </w:r>
      <w:proofErr w:type="spellEnd"/>
      <w:r w:rsidR="00035B4E" w:rsidRPr="00F044A7">
        <w:rPr>
          <w:lang w:val="da-DK"/>
        </w:rPr>
        <w:t xml:space="preserve"> og</w:t>
      </w:r>
      <w:r w:rsidRPr="00F044A7">
        <w:rPr>
          <w:lang w:val="da-DK"/>
        </w:rPr>
        <w:t xml:space="preserve"> </w:t>
      </w:r>
      <w:proofErr w:type="spellStart"/>
      <w:r w:rsidR="00E70564" w:rsidRPr="00F044A7">
        <w:rPr>
          <w:lang w:val="da-DK"/>
        </w:rPr>
        <w:t>etanercept</w:t>
      </w:r>
      <w:proofErr w:type="spellEnd"/>
      <w:r w:rsidRPr="00F044A7">
        <w:rPr>
          <w:lang w:val="da-DK"/>
        </w:rPr>
        <w:t xml:space="preserve"> </w:t>
      </w:r>
      <w:r w:rsidR="00397D17" w:rsidRPr="00F044A7">
        <w:rPr>
          <w:lang w:val="da-DK"/>
        </w:rPr>
        <w:t>lægemidler</w:t>
      </w:r>
      <w:r w:rsidRPr="00F044A7">
        <w:rPr>
          <w:lang w:val="da-DK"/>
        </w:rPr>
        <w:t xml:space="preserve"> til psoriasis på det danske marked. Medicinrådet har besluttet, at alle patienter skal skifte til det billigste produkt på markedet og dette er indtil videre forløbet godt. Der </w:t>
      </w:r>
      <w:r w:rsidR="00291ABF" w:rsidRPr="00F044A7">
        <w:rPr>
          <w:lang w:val="da-DK"/>
        </w:rPr>
        <w:t>har</w:t>
      </w:r>
      <w:r w:rsidRPr="00F044A7">
        <w:rPr>
          <w:lang w:val="da-DK"/>
        </w:rPr>
        <w:t xml:space="preserve"> i psoriasisgruppen </w:t>
      </w:r>
      <w:r w:rsidR="00291ABF" w:rsidRPr="00F044A7">
        <w:rPr>
          <w:lang w:val="da-DK"/>
        </w:rPr>
        <w:t xml:space="preserve">været </w:t>
      </w:r>
      <w:r w:rsidRPr="00F044A7">
        <w:rPr>
          <w:lang w:val="da-DK"/>
        </w:rPr>
        <w:t xml:space="preserve">bekymringen ved skift under behandling, hvilket bl.a. skyldes, at patienter med psoriasis ikke, som f.eks. patienter med RA, samtidig anvender DMARD, samt at der er tale om kroniske sygdomme med potentielt behov for livslang behandling. </w:t>
      </w:r>
      <w:r w:rsidRPr="00DF3447">
        <w:rPr>
          <w:lang w:val="da-DK"/>
        </w:rPr>
        <w:t>Skift mellem de enkelte produkter via apotek uden lægelig stillingtagen, er endnu ikke sket og bekymring for udvikling i den</w:t>
      </w:r>
      <w:r w:rsidR="00035B4E" w:rsidRPr="00DF3447">
        <w:rPr>
          <w:lang w:val="da-DK"/>
        </w:rPr>
        <w:t>ne</w:t>
      </w:r>
      <w:r w:rsidRPr="00DF3447">
        <w:rPr>
          <w:lang w:val="da-DK"/>
        </w:rPr>
        <w:t xml:space="preserve"> retning er stor i psoriasisgruppen.</w:t>
      </w:r>
    </w:p>
    <w:p w14:paraId="40958248" w14:textId="77777777" w:rsidR="00F74E14" w:rsidRPr="00DF3447" w:rsidRDefault="00F74E14">
      <w:pPr>
        <w:pStyle w:val="Brdtekst"/>
        <w:rPr>
          <w:lang w:val="da-DK"/>
        </w:rPr>
      </w:pPr>
    </w:p>
    <w:p w14:paraId="42B3D681" w14:textId="77777777" w:rsidR="00F74E14" w:rsidRPr="00DF3447" w:rsidRDefault="001C086A">
      <w:pPr>
        <w:pStyle w:val="Overskrift1"/>
        <w:numPr>
          <w:ilvl w:val="0"/>
          <w:numId w:val="2"/>
        </w:numPr>
        <w:tabs>
          <w:tab w:val="left" w:pos="474"/>
        </w:tabs>
        <w:ind w:left="473" w:hanging="362"/>
      </w:pPr>
      <w:proofErr w:type="spellStart"/>
      <w:r w:rsidRPr="00DF3447">
        <w:t>Behandlingsmål</w:t>
      </w:r>
      <w:proofErr w:type="spellEnd"/>
    </w:p>
    <w:p w14:paraId="0838DE3F" w14:textId="21F75F6A" w:rsidR="00F74E14" w:rsidRPr="00DF3447" w:rsidRDefault="001C086A">
      <w:pPr>
        <w:pStyle w:val="Brdtekst"/>
        <w:ind w:left="112" w:right="244"/>
        <w:rPr>
          <w:lang w:val="da-DK"/>
        </w:rPr>
      </w:pPr>
      <w:r w:rsidRPr="00DF3447">
        <w:rPr>
          <w:lang w:val="da-DK"/>
        </w:rPr>
        <w:t xml:space="preserve">Der er indenfor de sidste 10 år kommet flere nye produkter på markedet til patienter med moderat til svær psoriasis. Samtidig er flere af disse produkter betydeligt mere effektive, og der vil indenfor de næste år komme større og større krav til øget behandlingseffekt fra patienterne. Vi har tidligere haft PASI75 eller DLQI under 5 som behandlingsmål, men i kliniske afprøvninger og mange guidelines er PASI90 nu behandlingsmålet. Delta PASI er </w:t>
      </w:r>
      <w:r w:rsidRPr="00DF3447">
        <w:rPr>
          <w:lang w:val="da-DK"/>
        </w:rPr>
        <w:lastRenderedPageBreak/>
        <w:t xml:space="preserve">dog ikke det bedste mål i daglig klinisk praksis da patienter ikke som i kliniske afprøvninger holder pause inden opstart af ny behandling. For langtidsbehandling bør effekten ikke vurderes på en procentvis PASI reduktion, men </w:t>
      </w:r>
      <w:r w:rsidR="00035B4E" w:rsidRPr="00DF3447">
        <w:rPr>
          <w:lang w:val="da-DK"/>
        </w:rPr>
        <w:t xml:space="preserve">på </w:t>
      </w:r>
      <w:r w:rsidRPr="00DF3447">
        <w:rPr>
          <w:lang w:val="da-DK"/>
        </w:rPr>
        <w:t>et krav til et bestemt niveau for absolut PASI</w:t>
      </w:r>
      <w:r w:rsidR="00523CB1" w:rsidRPr="00DF3447">
        <w:rPr>
          <w:lang w:val="da-DK"/>
        </w:rPr>
        <w:t>, som fremadrettet bør være mindre end 3</w:t>
      </w:r>
      <w:r w:rsidRPr="00DF3447">
        <w:rPr>
          <w:lang w:val="da-DK"/>
        </w:rPr>
        <w:t>.</w:t>
      </w:r>
    </w:p>
    <w:p w14:paraId="08B2C007" w14:textId="77777777" w:rsidR="00F74E14" w:rsidRPr="00DF3447" w:rsidRDefault="00F74E14">
      <w:pPr>
        <w:pStyle w:val="Brdtekst"/>
        <w:rPr>
          <w:lang w:val="da-DK"/>
        </w:rPr>
      </w:pPr>
    </w:p>
    <w:p w14:paraId="4C7D754E" w14:textId="77777777" w:rsidR="00F74E14" w:rsidRPr="00DF3447" w:rsidRDefault="00F74E14">
      <w:pPr>
        <w:pStyle w:val="Brdtekst"/>
        <w:spacing w:before="9"/>
        <w:rPr>
          <w:lang w:val="da-DK"/>
        </w:rPr>
      </w:pPr>
    </w:p>
    <w:p w14:paraId="040A03FC" w14:textId="77777777" w:rsidR="00F74E14" w:rsidRPr="00DF3447" w:rsidRDefault="001C086A">
      <w:pPr>
        <w:pStyle w:val="Overskrift1"/>
        <w:numPr>
          <w:ilvl w:val="0"/>
          <w:numId w:val="2"/>
        </w:numPr>
        <w:tabs>
          <w:tab w:val="left" w:pos="474"/>
        </w:tabs>
        <w:spacing w:before="1"/>
        <w:ind w:left="473" w:hanging="362"/>
      </w:pPr>
      <w:proofErr w:type="spellStart"/>
      <w:r w:rsidRPr="00DF3447">
        <w:t>Kræft</w:t>
      </w:r>
      <w:proofErr w:type="spellEnd"/>
      <w:r w:rsidRPr="00DF3447">
        <w:t xml:space="preserve"> </w:t>
      </w:r>
      <w:proofErr w:type="spellStart"/>
      <w:r w:rsidRPr="00DF3447">
        <w:t>og</w:t>
      </w:r>
      <w:proofErr w:type="spellEnd"/>
      <w:r w:rsidRPr="00DF3447">
        <w:t xml:space="preserve"> </w:t>
      </w:r>
      <w:proofErr w:type="spellStart"/>
      <w:r w:rsidRPr="00DF3447">
        <w:t>biologisk</w:t>
      </w:r>
      <w:proofErr w:type="spellEnd"/>
      <w:r w:rsidRPr="00DF3447">
        <w:rPr>
          <w:spacing w:val="-1"/>
        </w:rPr>
        <w:t xml:space="preserve"> </w:t>
      </w:r>
      <w:proofErr w:type="spellStart"/>
      <w:r w:rsidRPr="00DF3447">
        <w:t>behandling</w:t>
      </w:r>
      <w:proofErr w:type="spellEnd"/>
    </w:p>
    <w:p w14:paraId="0F479B70" w14:textId="5EEAE8AB" w:rsidR="00F74E14" w:rsidRPr="00DF3447" w:rsidRDefault="001C086A">
      <w:pPr>
        <w:pStyle w:val="Brdtekst"/>
        <w:ind w:left="112" w:right="138"/>
      </w:pPr>
      <w:r w:rsidRPr="00F044A7">
        <w:rPr>
          <w:lang w:val="da-DK"/>
        </w:rPr>
        <w:t xml:space="preserve">I alle studier med de biologiske lægemidler er patienter med kræft indenfor de sidste 5 år ekskluderet på nær non-melanom hudkræft og </w:t>
      </w:r>
      <w:proofErr w:type="spellStart"/>
      <w:r w:rsidRPr="00F044A7">
        <w:rPr>
          <w:lang w:val="da-DK"/>
        </w:rPr>
        <w:t>cervix</w:t>
      </w:r>
      <w:proofErr w:type="spellEnd"/>
      <w:r w:rsidRPr="00F044A7">
        <w:rPr>
          <w:lang w:val="da-DK"/>
        </w:rPr>
        <w:t xml:space="preserve"> </w:t>
      </w:r>
      <w:proofErr w:type="spellStart"/>
      <w:r w:rsidRPr="00F044A7">
        <w:rPr>
          <w:lang w:val="da-DK"/>
        </w:rPr>
        <w:t>dysplasi</w:t>
      </w:r>
      <w:proofErr w:type="spellEnd"/>
      <w:r w:rsidRPr="00F044A7">
        <w:rPr>
          <w:lang w:val="da-DK"/>
        </w:rPr>
        <w:t xml:space="preserve">. </w:t>
      </w:r>
      <w:r w:rsidRPr="00DF3447">
        <w:rPr>
          <w:lang w:val="da-DK"/>
        </w:rPr>
        <w:t xml:space="preserve">Der er en potentiel risiko for forværring af specielt </w:t>
      </w:r>
      <w:proofErr w:type="spellStart"/>
      <w:r w:rsidRPr="00DF3447">
        <w:rPr>
          <w:lang w:val="da-DK"/>
        </w:rPr>
        <w:t>immunogene</w:t>
      </w:r>
      <w:proofErr w:type="spellEnd"/>
      <w:r w:rsidRPr="00DF3447">
        <w:rPr>
          <w:lang w:val="da-DK"/>
        </w:rPr>
        <w:t xml:space="preserve"> kræftformer som </w:t>
      </w:r>
      <w:proofErr w:type="spellStart"/>
      <w:r w:rsidRPr="00DF3447">
        <w:rPr>
          <w:lang w:val="da-DK"/>
        </w:rPr>
        <w:t>lymfomer</w:t>
      </w:r>
      <w:proofErr w:type="spellEnd"/>
      <w:r w:rsidRPr="00DF3447">
        <w:rPr>
          <w:lang w:val="da-DK"/>
        </w:rPr>
        <w:t>. I de foreløbige opgørelser fra specielt databaserne</w:t>
      </w:r>
      <w:r w:rsidR="00523CB1" w:rsidRPr="00DF3447">
        <w:rPr>
          <w:lang w:val="da-DK"/>
        </w:rPr>
        <w:t xml:space="preserve">, hvor der er en overvægt af data for behandling med </w:t>
      </w:r>
      <w:proofErr w:type="spellStart"/>
      <w:r w:rsidR="00523CB1" w:rsidRPr="00DF3447">
        <w:rPr>
          <w:lang w:val="da-DK"/>
        </w:rPr>
        <w:t>anti</w:t>
      </w:r>
      <w:proofErr w:type="spellEnd"/>
      <w:r w:rsidR="00523CB1" w:rsidRPr="00DF3447">
        <w:rPr>
          <w:lang w:val="da-DK"/>
        </w:rPr>
        <w:t xml:space="preserve">-TNF, </w:t>
      </w:r>
      <w:r w:rsidRPr="00DF3447">
        <w:rPr>
          <w:lang w:val="da-DK"/>
        </w:rPr>
        <w:t xml:space="preserve">er der dog ikke fundet øget risiko. Behandling til patienter med kræft inden for de sidste 5 år bør derfor være en konference beslutning, samt diskuteres grundigt med patient. </w:t>
      </w:r>
      <w:proofErr w:type="spellStart"/>
      <w:r w:rsidRPr="00DF3447">
        <w:t>Apremilast</w:t>
      </w:r>
      <w:proofErr w:type="spellEnd"/>
      <w:r w:rsidRPr="00DF3447">
        <w:t xml:space="preserve"> </w:t>
      </w:r>
      <w:proofErr w:type="spellStart"/>
      <w:r w:rsidRPr="00DF3447">
        <w:t>og</w:t>
      </w:r>
      <w:proofErr w:type="spellEnd"/>
      <w:r w:rsidRPr="00DF3447">
        <w:t xml:space="preserve"> </w:t>
      </w:r>
      <w:proofErr w:type="spellStart"/>
      <w:r w:rsidRPr="00DF3447">
        <w:t>dimethylfumarat</w:t>
      </w:r>
      <w:proofErr w:type="spellEnd"/>
      <w:r w:rsidRPr="00DF3447">
        <w:t xml:space="preserve"> </w:t>
      </w:r>
      <w:proofErr w:type="spellStart"/>
      <w:r w:rsidRPr="00DF3447">
        <w:t>menes</w:t>
      </w:r>
      <w:proofErr w:type="spellEnd"/>
      <w:r w:rsidRPr="00DF3447">
        <w:t xml:space="preserve"> at </w:t>
      </w:r>
      <w:proofErr w:type="spellStart"/>
      <w:r w:rsidRPr="00DF3447">
        <w:t>være</w:t>
      </w:r>
      <w:proofErr w:type="spellEnd"/>
      <w:r w:rsidRPr="00DF3447">
        <w:t xml:space="preserve"> mere</w:t>
      </w:r>
      <w:r w:rsidRPr="00DF3447">
        <w:rPr>
          <w:spacing w:val="-3"/>
        </w:rPr>
        <w:t xml:space="preserve"> </w:t>
      </w:r>
      <w:proofErr w:type="spellStart"/>
      <w:r w:rsidRPr="00DF3447">
        <w:t>sik</w:t>
      </w:r>
      <w:r w:rsidR="00523CB1" w:rsidRPr="00DF3447">
        <w:t>re</w:t>
      </w:r>
      <w:proofErr w:type="spellEnd"/>
      <w:r w:rsidRPr="00DF3447">
        <w:t>.</w:t>
      </w:r>
    </w:p>
    <w:p w14:paraId="4922D6B4" w14:textId="77777777" w:rsidR="00F74E14" w:rsidRPr="00DF3447" w:rsidRDefault="00F74E14">
      <w:pPr>
        <w:pStyle w:val="Brdtekst"/>
      </w:pPr>
    </w:p>
    <w:p w14:paraId="58938803" w14:textId="77777777" w:rsidR="00F74E14" w:rsidRPr="00DF3447" w:rsidRDefault="001C086A">
      <w:pPr>
        <w:pStyle w:val="Overskrift1"/>
        <w:numPr>
          <w:ilvl w:val="0"/>
          <w:numId w:val="2"/>
        </w:numPr>
        <w:tabs>
          <w:tab w:val="left" w:pos="474"/>
        </w:tabs>
        <w:ind w:left="473" w:hanging="362"/>
      </w:pPr>
      <w:proofErr w:type="spellStart"/>
      <w:r w:rsidRPr="00DF3447">
        <w:t>Behandlingsvejledning</w:t>
      </w:r>
      <w:proofErr w:type="spellEnd"/>
    </w:p>
    <w:p w14:paraId="2ED5C604" w14:textId="24B6DB10" w:rsidR="00F74E14" w:rsidRPr="00DF3447" w:rsidRDefault="001C086A">
      <w:pPr>
        <w:pStyle w:val="Brdtekst"/>
        <w:ind w:left="112" w:right="1089"/>
        <w:rPr>
          <w:lang w:val="da-DK"/>
        </w:rPr>
      </w:pPr>
      <w:r w:rsidRPr="00DF3447">
        <w:rPr>
          <w:lang w:val="da-DK"/>
        </w:rPr>
        <w:t>For behandlingsvejledning henvises til Medicinrådets vejledning</w:t>
      </w:r>
      <w:r w:rsidR="00F044A7">
        <w:rPr>
          <w:lang w:val="da-DK"/>
        </w:rPr>
        <w:t>: ”</w:t>
      </w:r>
      <w:r w:rsidR="00F044A7" w:rsidRPr="00C10C30">
        <w:rPr>
          <w:lang w:val="da-DK"/>
        </w:rPr>
        <w:t xml:space="preserve">Medicinrådets lægemiddelrekommandation og behandlingsvejledning vedrørende lægemidler til moderat til svær </w:t>
      </w:r>
      <w:proofErr w:type="spellStart"/>
      <w:r w:rsidR="00F044A7" w:rsidRPr="00C10C30">
        <w:rPr>
          <w:lang w:val="da-DK"/>
        </w:rPr>
        <w:t>plaque</w:t>
      </w:r>
      <w:proofErr w:type="spellEnd"/>
      <w:r w:rsidR="00F044A7" w:rsidRPr="00C10C30">
        <w:rPr>
          <w:lang w:val="da-DK"/>
        </w:rPr>
        <w:t xml:space="preserve"> psoriasis</w:t>
      </w:r>
      <w:proofErr w:type="gramStart"/>
      <w:r w:rsidR="00F044A7">
        <w:rPr>
          <w:lang w:val="da-DK"/>
        </w:rPr>
        <w:t>”.</w:t>
      </w:r>
      <w:r w:rsidRPr="00DF3447">
        <w:rPr>
          <w:lang w:val="da-DK"/>
        </w:rPr>
        <w:t>.</w:t>
      </w:r>
      <w:proofErr w:type="gramEnd"/>
    </w:p>
    <w:p w14:paraId="3C7BA0D0" w14:textId="77777777" w:rsidR="00F74E14" w:rsidRPr="00DF3447" w:rsidRDefault="00F74E14">
      <w:pPr>
        <w:pStyle w:val="Brdtekst"/>
        <w:spacing w:before="1"/>
        <w:rPr>
          <w:rFonts w:ascii="Arial"/>
          <w:lang w:val="da-DK"/>
        </w:rPr>
      </w:pPr>
    </w:p>
    <w:p w14:paraId="6DD5227A" w14:textId="77777777" w:rsidR="00F74E14" w:rsidRPr="00DF3447" w:rsidRDefault="001C086A">
      <w:pPr>
        <w:pStyle w:val="Overskrift1"/>
        <w:numPr>
          <w:ilvl w:val="0"/>
          <w:numId w:val="2"/>
        </w:numPr>
        <w:tabs>
          <w:tab w:val="left" w:pos="474"/>
        </w:tabs>
        <w:spacing w:before="90"/>
        <w:ind w:left="473" w:hanging="362"/>
      </w:pPr>
      <w:r w:rsidRPr="00DF3447">
        <w:t>Appendix</w:t>
      </w:r>
    </w:p>
    <w:p w14:paraId="24688B66" w14:textId="77777777" w:rsidR="00DF3447" w:rsidRPr="00DF3447" w:rsidRDefault="00DF3447" w:rsidP="00DF3447">
      <w:pPr>
        <w:pStyle w:val="Listeafsnit"/>
        <w:tabs>
          <w:tab w:val="left" w:pos="474"/>
        </w:tabs>
        <w:ind w:left="112" w:right="225" w:firstLine="0"/>
        <w:rPr>
          <w:sz w:val="24"/>
          <w:szCs w:val="24"/>
        </w:rPr>
      </w:pPr>
    </w:p>
    <w:p w14:paraId="0189E34B" w14:textId="35BCBB41" w:rsidR="00F74E14" w:rsidRPr="00DF3447" w:rsidRDefault="001C086A">
      <w:pPr>
        <w:pStyle w:val="Listeafsnit"/>
        <w:numPr>
          <w:ilvl w:val="0"/>
          <w:numId w:val="2"/>
        </w:numPr>
        <w:tabs>
          <w:tab w:val="left" w:pos="474"/>
        </w:tabs>
        <w:ind w:left="112" w:right="225" w:firstLine="0"/>
        <w:rPr>
          <w:sz w:val="24"/>
          <w:szCs w:val="24"/>
        </w:rPr>
      </w:pPr>
      <w:r w:rsidRPr="00DF3447">
        <w:rPr>
          <w:b/>
          <w:sz w:val="24"/>
          <w:szCs w:val="24"/>
        </w:rPr>
        <w:t xml:space="preserve">PASI, BSA, DLQI, </w:t>
      </w:r>
      <w:r w:rsidRPr="00DF3447">
        <w:rPr>
          <w:sz w:val="24"/>
          <w:szCs w:val="24"/>
        </w:rPr>
        <w:t>(Finlay AY, Current severe psoriasis and the rule of tens, Br J Dermatol 2005; 152: 861867)</w:t>
      </w:r>
    </w:p>
    <w:p w14:paraId="21E15837" w14:textId="77777777" w:rsidR="00F74E14" w:rsidRPr="00DF3447" w:rsidRDefault="00F74E14">
      <w:pPr>
        <w:pStyle w:val="Brdtekst"/>
      </w:pPr>
    </w:p>
    <w:p w14:paraId="5D01F0A6" w14:textId="77777777" w:rsidR="00F74E14" w:rsidRPr="00DF3447" w:rsidRDefault="001C086A">
      <w:pPr>
        <w:pStyle w:val="Listeafsnit"/>
        <w:numPr>
          <w:ilvl w:val="0"/>
          <w:numId w:val="2"/>
        </w:numPr>
        <w:tabs>
          <w:tab w:val="left" w:pos="474"/>
        </w:tabs>
        <w:ind w:left="112" w:right="6372" w:firstLine="0"/>
        <w:rPr>
          <w:b/>
          <w:sz w:val="24"/>
          <w:szCs w:val="24"/>
          <w:lang w:val="da-DK"/>
        </w:rPr>
      </w:pPr>
      <w:proofErr w:type="spellStart"/>
      <w:r w:rsidRPr="00DF3447">
        <w:rPr>
          <w:b/>
          <w:sz w:val="24"/>
          <w:szCs w:val="24"/>
          <w:lang w:val="da-DK"/>
        </w:rPr>
        <w:t>Retningslinier</w:t>
      </w:r>
      <w:proofErr w:type="spellEnd"/>
      <w:r w:rsidRPr="00DF3447">
        <w:rPr>
          <w:b/>
          <w:sz w:val="24"/>
          <w:szCs w:val="24"/>
          <w:lang w:val="da-DK"/>
        </w:rPr>
        <w:t xml:space="preserve"> for tuberkulose</w:t>
      </w:r>
      <w:r w:rsidRPr="00DF3447">
        <w:rPr>
          <w:b/>
          <w:spacing w:val="-9"/>
          <w:sz w:val="24"/>
          <w:szCs w:val="24"/>
          <w:lang w:val="da-DK"/>
        </w:rPr>
        <w:t xml:space="preserve"> </w:t>
      </w:r>
      <w:r w:rsidRPr="00DF3447">
        <w:rPr>
          <w:b/>
          <w:sz w:val="24"/>
          <w:szCs w:val="24"/>
          <w:lang w:val="da-DK"/>
        </w:rPr>
        <w:t>se 'Instrukser' på</w:t>
      </w:r>
      <w:r w:rsidRPr="00DF3447">
        <w:rPr>
          <w:b/>
          <w:spacing w:val="-4"/>
          <w:sz w:val="24"/>
          <w:szCs w:val="24"/>
          <w:lang w:val="da-DK"/>
        </w:rPr>
        <w:t xml:space="preserve"> </w:t>
      </w:r>
      <w:hyperlink r:id="rId10">
        <w:r w:rsidRPr="00DF3447">
          <w:rPr>
            <w:b/>
            <w:sz w:val="24"/>
            <w:szCs w:val="24"/>
            <w:lang w:val="da-DK"/>
          </w:rPr>
          <w:t>http://www.dds.nu</w:t>
        </w:r>
      </w:hyperlink>
    </w:p>
    <w:p w14:paraId="2E79FE43" w14:textId="77777777" w:rsidR="00F74E14" w:rsidRPr="00105389" w:rsidRDefault="00F74E14">
      <w:pPr>
        <w:rPr>
          <w:sz w:val="24"/>
          <w:lang w:val="da-DK"/>
        </w:rPr>
        <w:sectPr w:rsidR="00F74E14" w:rsidRPr="00105389" w:rsidSect="00894324">
          <w:headerReference w:type="even" r:id="rId11"/>
          <w:headerReference w:type="default" r:id="rId12"/>
          <w:footerReference w:type="even" r:id="rId13"/>
          <w:footerReference w:type="default" r:id="rId14"/>
          <w:headerReference w:type="first" r:id="rId15"/>
          <w:footerReference w:type="first" r:id="rId16"/>
          <w:pgSz w:w="12240" w:h="15840"/>
          <w:pgMar w:top="851" w:right="1418" w:bottom="567" w:left="1418" w:header="0" w:footer="0" w:gutter="0"/>
          <w:cols w:space="720"/>
          <w:docGrid w:linePitch="299"/>
        </w:sectPr>
      </w:pPr>
    </w:p>
    <w:p w14:paraId="191C2C5B" w14:textId="77777777" w:rsidR="00F74E14" w:rsidRPr="00105389" w:rsidRDefault="00F74E14">
      <w:pPr>
        <w:pStyle w:val="Brdtekst"/>
        <w:rPr>
          <w:b/>
          <w:sz w:val="20"/>
          <w:lang w:val="da-DK"/>
        </w:rPr>
      </w:pPr>
    </w:p>
    <w:p w14:paraId="68DE54A1" w14:textId="77777777" w:rsidR="00F74E14" w:rsidRPr="00105389" w:rsidRDefault="00F74E14">
      <w:pPr>
        <w:pStyle w:val="Brdtekst"/>
        <w:rPr>
          <w:b/>
          <w:sz w:val="20"/>
          <w:lang w:val="da-DK"/>
        </w:rPr>
      </w:pPr>
    </w:p>
    <w:p w14:paraId="34619FD2" w14:textId="77777777" w:rsidR="00F74E14" w:rsidRPr="00105389" w:rsidRDefault="00F74E14">
      <w:pPr>
        <w:pStyle w:val="Brdtekst"/>
        <w:rPr>
          <w:b/>
          <w:sz w:val="20"/>
          <w:lang w:val="da-DK"/>
        </w:rPr>
      </w:pPr>
    </w:p>
    <w:p w14:paraId="203D1462" w14:textId="77777777" w:rsidR="00F74E14" w:rsidRPr="00105389" w:rsidRDefault="00F74E14">
      <w:pPr>
        <w:pStyle w:val="Brdtekst"/>
        <w:spacing w:before="2"/>
        <w:rPr>
          <w:b/>
          <w:sz w:val="26"/>
          <w:lang w:val="da-DK"/>
        </w:rPr>
      </w:pPr>
    </w:p>
    <w:p w14:paraId="6243A5F4" w14:textId="77777777" w:rsidR="00F74E14" w:rsidRPr="00105389" w:rsidRDefault="00F74E14">
      <w:pPr>
        <w:rPr>
          <w:sz w:val="26"/>
          <w:lang w:val="da-DK"/>
        </w:rPr>
        <w:sectPr w:rsidR="00F74E14" w:rsidRPr="00105389">
          <w:pgSz w:w="12240" w:h="15840"/>
          <w:pgMar w:top="1500" w:right="1020" w:bottom="0" w:left="1020" w:header="0" w:footer="0" w:gutter="0"/>
          <w:cols w:space="720"/>
        </w:sectPr>
      </w:pPr>
    </w:p>
    <w:p w14:paraId="58425DE0" w14:textId="77777777" w:rsidR="00F74E14" w:rsidRPr="00105389" w:rsidRDefault="001C086A">
      <w:pPr>
        <w:tabs>
          <w:tab w:val="left" w:pos="4580"/>
          <w:tab w:val="left" w:pos="4641"/>
        </w:tabs>
        <w:spacing w:before="94" w:line="482" w:lineRule="auto"/>
        <w:ind w:left="266" w:right="38"/>
        <w:jc w:val="both"/>
        <w:rPr>
          <w:rFonts w:ascii="Arial" w:hAnsi="Arial"/>
          <w:b/>
          <w:lang w:val="da-DK"/>
        </w:rPr>
      </w:pPr>
      <w:r w:rsidRPr="00105389">
        <w:rPr>
          <w:rFonts w:ascii="Arial" w:hAnsi="Arial"/>
          <w:b/>
          <w:lang w:val="da-DK"/>
        </w:rPr>
        <w:t>Lægemiddel</w:t>
      </w:r>
      <w:r w:rsidRPr="00105389">
        <w:rPr>
          <w:rFonts w:ascii="Arial" w:hAnsi="Arial"/>
          <w:b/>
          <w:spacing w:val="-4"/>
          <w:lang w:val="da-DK"/>
        </w:rPr>
        <w:t xml:space="preserve"> </w:t>
      </w:r>
      <w:r w:rsidRPr="00105389">
        <w:rPr>
          <w:rFonts w:ascii="Arial" w:hAnsi="Arial"/>
          <w:b/>
          <w:lang w:val="da-DK"/>
        </w:rPr>
        <w:t>navn</w:t>
      </w:r>
      <w:r w:rsidRPr="00105389">
        <w:rPr>
          <w:rFonts w:ascii="Arial" w:hAnsi="Arial"/>
          <w:lang w:val="da-DK"/>
        </w:rPr>
        <w:t>:</w:t>
      </w:r>
      <w:r w:rsidRPr="00105389">
        <w:rPr>
          <w:rFonts w:ascii="Arial" w:hAnsi="Arial"/>
          <w:spacing w:val="2"/>
          <w:lang w:val="da-DK"/>
        </w:rPr>
        <w:t xml:space="preserve"> </w:t>
      </w:r>
      <w:r w:rsidRPr="00105389">
        <w:rPr>
          <w:rFonts w:ascii="Arial" w:hAnsi="Arial"/>
          <w:u w:val="single"/>
          <w:lang w:val="da-DK"/>
        </w:rPr>
        <w:t xml:space="preserve"> </w:t>
      </w:r>
      <w:r w:rsidRPr="00105389">
        <w:rPr>
          <w:rFonts w:ascii="Arial" w:hAnsi="Arial"/>
          <w:u w:val="single"/>
          <w:lang w:val="da-DK"/>
        </w:rPr>
        <w:tab/>
      </w:r>
      <w:r w:rsidRPr="00105389">
        <w:rPr>
          <w:rFonts w:ascii="Arial" w:hAnsi="Arial"/>
          <w:u w:val="single"/>
          <w:lang w:val="da-DK"/>
        </w:rPr>
        <w:tab/>
      </w:r>
      <w:r w:rsidRPr="00105389">
        <w:rPr>
          <w:rFonts w:ascii="Arial" w:hAnsi="Arial"/>
          <w:lang w:val="da-DK"/>
        </w:rPr>
        <w:t xml:space="preserve"> </w:t>
      </w:r>
      <w:r w:rsidRPr="00105389">
        <w:rPr>
          <w:rFonts w:ascii="Arial" w:hAnsi="Arial"/>
          <w:b/>
          <w:lang w:val="da-DK"/>
        </w:rPr>
        <w:t>Ordineret</w:t>
      </w:r>
      <w:r w:rsidRPr="00105389">
        <w:rPr>
          <w:rFonts w:ascii="Arial" w:hAnsi="Arial"/>
          <w:b/>
          <w:spacing w:val="-1"/>
          <w:lang w:val="da-DK"/>
        </w:rPr>
        <w:t xml:space="preserve"> </w:t>
      </w:r>
      <w:r w:rsidRPr="00105389">
        <w:rPr>
          <w:rFonts w:ascii="Arial" w:hAnsi="Arial"/>
          <w:b/>
          <w:lang w:val="da-DK"/>
        </w:rPr>
        <w:t>af</w:t>
      </w:r>
      <w:r w:rsidRPr="00105389">
        <w:rPr>
          <w:rFonts w:ascii="Arial" w:hAnsi="Arial"/>
          <w:b/>
          <w:spacing w:val="-1"/>
          <w:lang w:val="da-DK"/>
        </w:rPr>
        <w:t xml:space="preserve"> </w:t>
      </w:r>
      <w:r w:rsidRPr="00105389">
        <w:rPr>
          <w:rFonts w:ascii="Arial" w:hAnsi="Arial"/>
          <w:b/>
          <w:lang w:val="da-DK"/>
        </w:rPr>
        <w:t>læge</w:t>
      </w:r>
      <w:r w:rsidRPr="00105389">
        <w:rPr>
          <w:rFonts w:ascii="Arial" w:hAnsi="Arial"/>
          <w:lang w:val="da-DK"/>
        </w:rPr>
        <w:t>:</w:t>
      </w:r>
      <w:r w:rsidRPr="00105389">
        <w:rPr>
          <w:rFonts w:ascii="Arial" w:hAnsi="Arial"/>
          <w:spacing w:val="-1"/>
          <w:lang w:val="da-DK"/>
        </w:rPr>
        <w:t xml:space="preserve"> </w:t>
      </w:r>
      <w:r w:rsidRPr="00105389">
        <w:rPr>
          <w:rFonts w:ascii="Arial" w:hAnsi="Arial"/>
          <w:u w:val="single"/>
          <w:lang w:val="da-DK"/>
        </w:rPr>
        <w:t xml:space="preserve"> </w:t>
      </w:r>
      <w:r w:rsidRPr="00105389">
        <w:rPr>
          <w:rFonts w:ascii="Arial" w:hAnsi="Arial"/>
          <w:u w:val="single"/>
          <w:lang w:val="da-DK"/>
        </w:rPr>
        <w:tab/>
      </w:r>
      <w:r w:rsidRPr="00105389">
        <w:rPr>
          <w:rFonts w:ascii="Arial" w:hAnsi="Arial"/>
          <w:w w:val="19"/>
          <w:u w:val="single"/>
          <w:lang w:val="da-DK"/>
        </w:rPr>
        <w:t xml:space="preserve"> </w:t>
      </w:r>
      <w:r w:rsidRPr="00105389">
        <w:rPr>
          <w:rFonts w:ascii="Arial" w:hAnsi="Arial"/>
          <w:lang w:val="da-DK"/>
        </w:rPr>
        <w:t xml:space="preserve">                           </w:t>
      </w:r>
      <w:r w:rsidRPr="00105389">
        <w:rPr>
          <w:rFonts w:ascii="Arial" w:hAnsi="Arial"/>
          <w:b/>
          <w:lang w:val="da-DK"/>
        </w:rPr>
        <w:t>Screenet</w:t>
      </w:r>
      <w:r w:rsidRPr="00105389">
        <w:rPr>
          <w:rFonts w:ascii="Arial" w:hAnsi="Arial"/>
          <w:b/>
          <w:spacing w:val="-1"/>
          <w:lang w:val="da-DK"/>
        </w:rPr>
        <w:t xml:space="preserve"> </w:t>
      </w:r>
      <w:r w:rsidRPr="00105389">
        <w:rPr>
          <w:rFonts w:ascii="Arial" w:hAnsi="Arial"/>
          <w:b/>
          <w:lang w:val="da-DK"/>
        </w:rPr>
        <w:t xml:space="preserve">af: </w:t>
      </w:r>
      <w:r w:rsidRPr="00105389">
        <w:rPr>
          <w:rFonts w:ascii="Arial" w:hAnsi="Arial"/>
          <w:b/>
          <w:u w:val="single"/>
          <w:lang w:val="da-DK"/>
        </w:rPr>
        <w:t xml:space="preserve"> </w:t>
      </w:r>
      <w:r w:rsidRPr="00105389">
        <w:rPr>
          <w:rFonts w:ascii="Arial" w:hAnsi="Arial"/>
          <w:b/>
          <w:u w:val="single"/>
          <w:lang w:val="da-DK"/>
        </w:rPr>
        <w:tab/>
      </w:r>
    </w:p>
    <w:p w14:paraId="05184B39" w14:textId="77777777" w:rsidR="00F74E14" w:rsidRDefault="001C086A">
      <w:pPr>
        <w:spacing w:before="94"/>
        <w:ind w:left="266"/>
        <w:rPr>
          <w:rFonts w:ascii="Arial"/>
        </w:rPr>
      </w:pPr>
      <w:r w:rsidRPr="00105389">
        <w:rPr>
          <w:lang w:val="da-DK"/>
        </w:rPr>
        <w:br w:type="column"/>
      </w:r>
      <w:proofErr w:type="spellStart"/>
      <w:r>
        <w:rPr>
          <w:rFonts w:ascii="Arial"/>
        </w:rPr>
        <w:t>Indikation</w:t>
      </w:r>
      <w:proofErr w:type="spellEnd"/>
      <w:r>
        <w:rPr>
          <w:rFonts w:ascii="Arial"/>
        </w:rPr>
        <w:t>:</w:t>
      </w:r>
    </w:p>
    <w:p w14:paraId="100A6BF4" w14:textId="77777777" w:rsidR="00F74E14" w:rsidRDefault="00F74E14">
      <w:pPr>
        <w:pStyle w:val="Brdtekst"/>
        <w:rPr>
          <w:rFonts w:ascii="Arial"/>
          <w:sz w:val="22"/>
        </w:rPr>
      </w:pPr>
    </w:p>
    <w:p w14:paraId="7ADC237D" w14:textId="77777777" w:rsidR="00F74E14" w:rsidRDefault="001C086A">
      <w:pPr>
        <w:pStyle w:val="Listeafsnit"/>
        <w:numPr>
          <w:ilvl w:val="0"/>
          <w:numId w:val="1"/>
        </w:numPr>
        <w:tabs>
          <w:tab w:val="left" w:pos="987"/>
          <w:tab w:val="left" w:pos="988"/>
        </w:tabs>
        <w:ind w:hanging="361"/>
        <w:rPr>
          <w:rFonts w:ascii="Arial" w:hAnsi="Arial"/>
        </w:rPr>
      </w:pPr>
      <w:r>
        <w:rPr>
          <w:rFonts w:ascii="Arial" w:hAnsi="Arial"/>
        </w:rPr>
        <w:t>Psoriasis</w:t>
      </w:r>
    </w:p>
    <w:p w14:paraId="6A4A66EC" w14:textId="77777777" w:rsidR="00F74E14" w:rsidRDefault="00F74E14">
      <w:pPr>
        <w:pStyle w:val="Brdtekst"/>
        <w:spacing w:before="1"/>
        <w:rPr>
          <w:rFonts w:ascii="Arial"/>
          <w:sz w:val="22"/>
        </w:rPr>
      </w:pPr>
    </w:p>
    <w:p w14:paraId="435B56F5" w14:textId="77777777" w:rsidR="00F74E14" w:rsidRDefault="001C086A">
      <w:pPr>
        <w:pStyle w:val="Listeafsnit"/>
        <w:numPr>
          <w:ilvl w:val="0"/>
          <w:numId w:val="1"/>
        </w:numPr>
        <w:tabs>
          <w:tab w:val="left" w:pos="987"/>
          <w:tab w:val="left" w:pos="988"/>
        </w:tabs>
        <w:ind w:hanging="361"/>
        <w:rPr>
          <w:rFonts w:ascii="Arial" w:hAnsi="Arial"/>
        </w:rPr>
      </w:pPr>
      <w:proofErr w:type="spellStart"/>
      <w:r>
        <w:rPr>
          <w:rFonts w:ascii="Arial" w:hAnsi="Arial"/>
        </w:rPr>
        <w:t>Andet</w:t>
      </w:r>
      <w:proofErr w:type="spellEnd"/>
    </w:p>
    <w:p w14:paraId="2223CC13" w14:textId="77777777" w:rsidR="00F74E14" w:rsidRDefault="00F74E14">
      <w:pPr>
        <w:rPr>
          <w:rFonts w:ascii="Arial" w:hAnsi="Arial"/>
        </w:rPr>
        <w:sectPr w:rsidR="00F74E14">
          <w:type w:val="continuous"/>
          <w:pgSz w:w="12240" w:h="15840"/>
          <w:pgMar w:top="1500" w:right="1020" w:bottom="0" w:left="1020" w:header="720" w:footer="720" w:gutter="0"/>
          <w:cols w:num="2" w:space="720" w:equalWidth="0">
            <w:col w:w="4682" w:space="179"/>
            <w:col w:w="5339"/>
          </w:cols>
        </w:sectPr>
      </w:pPr>
    </w:p>
    <w:p w14:paraId="5258AAED" w14:textId="77777777" w:rsidR="00F74E14" w:rsidRDefault="009E455F">
      <w:pPr>
        <w:pStyle w:val="Brdtekst"/>
        <w:rPr>
          <w:rFonts w:ascii="Arial"/>
          <w:sz w:val="20"/>
        </w:rPr>
      </w:pPr>
      <w:r>
        <w:rPr>
          <w:noProof/>
          <w:lang w:val="da-DK" w:eastAsia="da-DK"/>
        </w:rPr>
        <mc:AlternateContent>
          <mc:Choice Requires="wpg">
            <w:drawing>
              <wp:anchor distT="0" distB="0" distL="114300" distR="114300" simplePos="0" relativeHeight="251658240" behindDoc="1" locked="0" layoutInCell="1" allowOverlap="1" wp14:anchorId="78C04A98" wp14:editId="03FA95DE">
                <wp:simplePos x="0" y="0"/>
                <wp:positionH relativeFrom="page">
                  <wp:posOffset>715645</wp:posOffset>
                </wp:positionH>
                <wp:positionV relativeFrom="page">
                  <wp:posOffset>1586230</wp:posOffset>
                </wp:positionV>
                <wp:extent cx="6067425" cy="847725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7425" cy="8477250"/>
                          <a:chOff x="1127" y="2498"/>
                          <a:chExt cx="9555" cy="13350"/>
                        </a:xfrm>
                      </wpg:grpSpPr>
                      <wps:wsp>
                        <wps:cNvPr id="3" name="AutoShape 4"/>
                        <wps:cNvSpPr>
                          <a:spLocks/>
                        </wps:cNvSpPr>
                        <wps:spPr bwMode="auto">
                          <a:xfrm>
                            <a:off x="1134" y="2505"/>
                            <a:ext cx="9540" cy="1800"/>
                          </a:xfrm>
                          <a:custGeom>
                            <a:avLst/>
                            <a:gdLst>
                              <a:gd name="T0" fmla="+- 0 1134 1134"/>
                              <a:gd name="T1" fmla="*/ T0 w 9540"/>
                              <a:gd name="T2" fmla="+- 0 4305 2505"/>
                              <a:gd name="T3" fmla="*/ 4305 h 1800"/>
                              <a:gd name="T4" fmla="+- 0 5994 1134"/>
                              <a:gd name="T5" fmla="*/ T4 w 9540"/>
                              <a:gd name="T6" fmla="+- 0 4305 2505"/>
                              <a:gd name="T7" fmla="*/ 4305 h 1800"/>
                              <a:gd name="T8" fmla="+- 0 5994 1134"/>
                              <a:gd name="T9" fmla="*/ T8 w 9540"/>
                              <a:gd name="T10" fmla="+- 0 2505 2505"/>
                              <a:gd name="T11" fmla="*/ 2505 h 1800"/>
                              <a:gd name="T12" fmla="+- 0 1134 1134"/>
                              <a:gd name="T13" fmla="*/ T12 w 9540"/>
                              <a:gd name="T14" fmla="+- 0 2505 2505"/>
                              <a:gd name="T15" fmla="*/ 2505 h 1800"/>
                              <a:gd name="T16" fmla="+- 0 1134 1134"/>
                              <a:gd name="T17" fmla="*/ T16 w 9540"/>
                              <a:gd name="T18" fmla="+- 0 4305 2505"/>
                              <a:gd name="T19" fmla="*/ 4305 h 1800"/>
                              <a:gd name="T20" fmla="+- 0 5994 1134"/>
                              <a:gd name="T21" fmla="*/ T20 w 9540"/>
                              <a:gd name="T22" fmla="+- 0 4305 2505"/>
                              <a:gd name="T23" fmla="*/ 4305 h 1800"/>
                              <a:gd name="T24" fmla="+- 0 10674 1134"/>
                              <a:gd name="T25" fmla="*/ T24 w 9540"/>
                              <a:gd name="T26" fmla="+- 0 4305 2505"/>
                              <a:gd name="T27" fmla="*/ 4305 h 1800"/>
                              <a:gd name="T28" fmla="+- 0 10674 1134"/>
                              <a:gd name="T29" fmla="*/ T28 w 9540"/>
                              <a:gd name="T30" fmla="+- 0 2505 2505"/>
                              <a:gd name="T31" fmla="*/ 2505 h 1800"/>
                              <a:gd name="T32" fmla="+- 0 5994 1134"/>
                              <a:gd name="T33" fmla="*/ T32 w 9540"/>
                              <a:gd name="T34" fmla="+- 0 2505 2505"/>
                              <a:gd name="T35" fmla="*/ 2505 h 1800"/>
                              <a:gd name="T36" fmla="+- 0 5994 1134"/>
                              <a:gd name="T37" fmla="*/ T36 w 9540"/>
                              <a:gd name="T38" fmla="+- 0 4305 2505"/>
                              <a:gd name="T39" fmla="*/ 4305 h 18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9540" h="1800">
                                <a:moveTo>
                                  <a:pt x="0" y="1800"/>
                                </a:moveTo>
                                <a:lnTo>
                                  <a:pt x="4860" y="1800"/>
                                </a:lnTo>
                                <a:lnTo>
                                  <a:pt x="4860" y="0"/>
                                </a:lnTo>
                                <a:lnTo>
                                  <a:pt x="0" y="0"/>
                                </a:lnTo>
                                <a:lnTo>
                                  <a:pt x="0" y="1800"/>
                                </a:lnTo>
                                <a:close/>
                                <a:moveTo>
                                  <a:pt x="4860" y="1800"/>
                                </a:moveTo>
                                <a:lnTo>
                                  <a:pt x="9540" y="1800"/>
                                </a:lnTo>
                                <a:lnTo>
                                  <a:pt x="9540" y="0"/>
                                </a:lnTo>
                                <a:lnTo>
                                  <a:pt x="4860" y="0"/>
                                </a:lnTo>
                                <a:lnTo>
                                  <a:pt x="4860" y="1800"/>
                                </a:lnTo>
                                <a:close/>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 name="Freeform 3"/>
                        <wps:cNvSpPr>
                          <a:spLocks/>
                        </wps:cNvSpPr>
                        <wps:spPr bwMode="auto">
                          <a:xfrm>
                            <a:off x="1134" y="4305"/>
                            <a:ext cx="9540" cy="11535"/>
                          </a:xfrm>
                          <a:custGeom>
                            <a:avLst/>
                            <a:gdLst>
                              <a:gd name="T0" fmla="+- 0 10674 1134"/>
                              <a:gd name="T1" fmla="*/ T0 w 9540"/>
                              <a:gd name="T2" fmla="+- 0 15840 4305"/>
                              <a:gd name="T3" fmla="*/ 15840 h 11535"/>
                              <a:gd name="T4" fmla="+- 0 10674 1134"/>
                              <a:gd name="T5" fmla="*/ T4 w 9540"/>
                              <a:gd name="T6" fmla="+- 0 4305 4305"/>
                              <a:gd name="T7" fmla="*/ 4305 h 11535"/>
                              <a:gd name="T8" fmla="+- 0 1134 1134"/>
                              <a:gd name="T9" fmla="*/ T8 w 9540"/>
                              <a:gd name="T10" fmla="+- 0 4305 4305"/>
                              <a:gd name="T11" fmla="*/ 4305 h 11535"/>
                              <a:gd name="T12" fmla="+- 0 1134 1134"/>
                              <a:gd name="T13" fmla="*/ T12 w 9540"/>
                              <a:gd name="T14" fmla="+- 0 15840 4305"/>
                              <a:gd name="T15" fmla="*/ 15840 h 11535"/>
                            </a:gdLst>
                            <a:ahLst/>
                            <a:cxnLst>
                              <a:cxn ang="0">
                                <a:pos x="T1" y="T3"/>
                              </a:cxn>
                              <a:cxn ang="0">
                                <a:pos x="T5" y="T7"/>
                              </a:cxn>
                              <a:cxn ang="0">
                                <a:pos x="T9" y="T11"/>
                              </a:cxn>
                              <a:cxn ang="0">
                                <a:pos x="T13" y="T15"/>
                              </a:cxn>
                            </a:cxnLst>
                            <a:rect l="0" t="0" r="r" b="b"/>
                            <a:pathLst>
                              <a:path w="9540" h="11535">
                                <a:moveTo>
                                  <a:pt x="9540" y="11535"/>
                                </a:moveTo>
                                <a:lnTo>
                                  <a:pt x="9540" y="0"/>
                                </a:lnTo>
                                <a:lnTo>
                                  <a:pt x="0" y="0"/>
                                </a:lnTo>
                                <a:lnTo>
                                  <a:pt x="0" y="11535"/>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mo="http://schemas.microsoft.com/office/mac/office/2008/main" xmlns:mv="urn:schemas-microsoft-com:mac:vml">
            <w:pict>
              <v:group w14:anchorId="32FF4AD3" id="Group 2" o:spid="_x0000_s1026" style="position:absolute;margin-left:56.35pt;margin-top:124.9pt;width:477.75pt;height:667.5pt;z-index:-251658240;mso-position-horizontal-relative:page;mso-position-vertical-relative:page" coordorigin="1127,2498" coordsize="9555,133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K1uRQUAAFwWAAAOAAAAZHJzL2Uyb0RvYy54bWzsWNtu4zYQfS/QfyD02GJjURffEGdRbDZB&#10;gW27wKofQEuyJVQWVVK2k359h0NRprymo+y2+1A0D4pkjoaH5ww5M7p9+7SryCEXsuT1yqM3vkfy&#10;OuVZWW9X3u/Jw5u5R2TL6oxVvM5X3nMuvbd33393e2yWecALXmW5IOCklstjs/KKtm2Wk4lMi3zH&#10;5A1v8hoGN1zsWAuPYjvJBDuC9101CXx/OjlykTWCp7mU8Ou9HvTu0P9mk6ftb5uNzFtSrTzA1uJV&#10;4HWtrpO7W7bcCtYUZdrBYF+AYsfKGibtXd2zlpG9KD9ztStTwSXftDcp3034ZlOmOa4BVkP9s9U8&#10;Cr5vcC3b5XHb9DQBtWc8fbHb9NfDR0HKbOUFHqnZDiTCWUmgqDk22yVYPIrmU/NR6PXB7Qee/iFh&#10;eHI+rp632pisj7/wDNyxfcuRmqeN2CkXsGjyhAo89wrkTy1J4cepP51FQeyRFMbm0WwWxJ1GaQFC&#10;qvcoDWYegeEgWsy1fmnxvnt/EcfdyzQM9asTttQzI9oOnVoaBJw8cSq/jtNPBWtylEoqxjpOQ8Pp&#10;T0ACmpBI84pWhlRpM2qNKIwSiH+RS0rDSHMS+7HmxDC6iCOIe0UnnfvIZU8IW6Z72T7mHGVhhw+y&#10;1dshgzsUO+tCIgEXm10FO+PHN8Qnajq86Km2vRk1Zj9MSOKTI8HZO6fGFwSa5SsK/ZiAyh3sky/g&#10;TpuBLzQqiFkBbLN+Sli35S1eLC4jg6jovSWRA9nUGOEqncgg/HpfV5DByTcG2cKYKc7mDmR0KIDi&#10;6yJp1FYArS6zRociuAW1VUho4II3VMENz5bhGryhEm54thQJnbrgDaVwCkttLa4oGwzVcAZdYKuR&#10;BM4NMRTDCS+wxbgGb6gGVWfqxe2qDto+kpPAtS2CoRpufLYa1/AN5biCz9YjCVybIxzK4Yy+0Jbj&#10;SvSFQz2c8oa2Hkno2hzqaLYOAjc8W41r8IZyuOHZciSha3OEQzWc6oa2GGfqQkrZmqTBCpNH0qe6&#10;SyRwR5iqCH2sBBouVSZPQA/IS0mo0gi4ACuVdRzGwI4yno0yBqzKGI7DMa4pCInmmIReREKBWDRf&#10;jPKuTgFlDtt3DBi1KdF83EqDbqkQ3GO8q5hV3sNxSw27pYL4lnfNUKetgBr7vLoWHoHqeq3eYcuG&#10;tSokzC05rjxdlBRdTaJGdvyQJxxt2lN1aBI+THgyqGrbMJpPYfvDkixbY2H+N+iytzRVkBk2/7WZ&#10;9jbG5sKMacVljqs+4T2b3XrrZDOEoOkZs6be8jrekUvvzSyMBplZGUihBMUN2yurAsIqJWv+UFYV&#10;0lDVWm+IaiWu5FWZqUF8ENv1u0qQA1PNGf51UTYwa4Rs75kstB0O6cCC7qjOcJYiZ9n77r5lZaXv&#10;AVUFJwrU/bqM1kX/mmfPUFILrntB6F3hpuDiL48coQ9cefLPPRO5R6qfa2gKFjRSBXSLD1E8U7lf&#10;2CNre4TVKbhaea0H5526fdfqZnPfiHJbwEwUeai56gg2pSq4EZ9G1T1AX/KNGhRITbrpexB5rrps&#10;goeUYgy6mH++P1F5Q4t3oT+hcX8qmV7RjqrXNCjOkscuAUZ2KDSeRz62IBr5qfew87+2gmrbrMLd&#10;pLgLHrsCeE2XcqL1BM7O/iZdX8I2TP/OUtvO/mPbFJz2ErZBm3IN3L/bp7iVpbYSn0kLB8t/r9xR&#10;Z3hfsH1dUscwu5TV+3TV7xKY9cUseD23vSJfm/DHxKCKCLj5P5l9i2SG397gEyZS3n1uVd9I7WdM&#10;fqePwnd/AwAA//8DAFBLAwQUAAYACAAAACEAnR9fj+IAAAANAQAADwAAAGRycy9kb3ducmV2Lnht&#10;bEyPTUvDQBCG74L/YRnBm90ktjXGbEop6qkItoJ422anSWh2NmS3SfrvnZ70Ni/z8H7kq8m2YsDe&#10;N44UxLMIBFLpTEOVgq/920MKwgdNRreOUMEFPayK25tcZ8aN9InDLlSCTchnWkEdQpdJ6csarfYz&#10;1yHx7+h6qwPLvpKm1yOb21YmUbSUVjfECbXucFNjedqdrYL3UY/rx/h12J6Om8vPfvHxvY1Rqfu7&#10;af0CIuAU/mC41ufqUHCngzuT8aJlHSdPjCpI5s+84UpEyzQBceBrkc5TkEUu/68ofgEAAP//AwBQ&#10;SwECLQAUAAYACAAAACEAtoM4kv4AAADhAQAAEwAAAAAAAAAAAAAAAAAAAAAAW0NvbnRlbnRfVHlw&#10;ZXNdLnhtbFBLAQItABQABgAIAAAAIQA4/SH/1gAAAJQBAAALAAAAAAAAAAAAAAAAAC8BAABfcmVs&#10;cy8ucmVsc1BLAQItABQABgAIAAAAIQAttK1uRQUAAFwWAAAOAAAAAAAAAAAAAAAAAC4CAABkcnMv&#10;ZTJvRG9jLnhtbFBLAQItABQABgAIAAAAIQCdH1+P4gAAAA0BAAAPAAAAAAAAAAAAAAAAAJ8HAABk&#10;cnMvZG93bnJldi54bWxQSwUGAAAAAAQABADzAAAArggAAAAA&#10;">
                <v:shape id="AutoShape 4" o:spid="_x0000_s1027" style="position:absolute;left:1134;top:2505;width:9540;height:1800;visibility:visible;mso-wrap-style:square;v-text-anchor:top" coordsize="9540,18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bHsWxAAAANoAAAAPAAAAZHJzL2Rvd25yZXYueG1sRI9PawIx&#10;FMTvhX6H8Aq91awtLWU1K1YQLXip9uLtuXn7B5OXZRN3Vz+9EQSPw8z8hpnOBmtER62vHSsYjxIQ&#10;xLnTNZcK/nfLt28QPiBrNI5JwZk8zLLnpymm2vX8R902lCJC2KeooAqhSaX0eUUW/cg1xNErXGsx&#10;RNmWUrfYR7g18j1JvqTFmuNChQ0tKsqP25NVcFnMV+ZntTsXPR7rztDv5rD/VOr1ZZhPQAQawiN8&#10;b6+1gg+4XYk3QGZXAAAA//8DAFBLAQItABQABgAIAAAAIQDb4fbL7gAAAIUBAAATAAAAAAAAAAAA&#10;AAAAAAAAAABbQ29udGVudF9UeXBlc10ueG1sUEsBAi0AFAAGAAgAAAAhAFr0LFu/AAAAFQEAAAsA&#10;AAAAAAAAAAAAAAAAHwEAAF9yZWxzLy5yZWxzUEsBAi0AFAAGAAgAAAAhADVsexbEAAAA2gAAAA8A&#10;AAAAAAAAAAAAAAAABwIAAGRycy9kb3ducmV2LnhtbFBLBQYAAAAAAwADALcAAAD4AgAAAAA=&#10;" path="m,1800r4860,l4860,,,,,1800xm4860,1800r4680,l9540,,4860,r,1800xe" filled="f">
                  <v:path arrowok="t" o:connecttype="custom" o:connectlocs="0,4305;4860,4305;4860,2505;0,2505;0,4305;4860,4305;9540,4305;9540,2505;4860,2505;4860,4305" o:connectangles="0,0,0,0,0,0,0,0,0,0"/>
                </v:shape>
                <v:shape id="Freeform 3" o:spid="_x0000_s1028" style="position:absolute;left:1134;top:4305;width:9540;height:11535;visibility:visible;mso-wrap-style:square;v-text-anchor:top" coordsize="9540,1153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ZblwgAAANoAAAAPAAAAZHJzL2Rvd25yZXYueG1sRI9PawIx&#10;FMTvBb9DeIK3mlVkK6tRRCn0IIX6Bzw+kufu4uZlSaK7fntTKPQ4zMxvmOW6t414kA+1YwWTcQaC&#10;WDtTc6ngdPx8n4MIEdlg45gUPCnAejV4W2JhXMc/9DjEUiQIhwIVVDG2hZRBV2QxjF1LnLyr8xZj&#10;kr6UxmOX4LaR0yzLpcWa00KFLW0r0rfD3SrY7qX+7jVd8+6jPN+OfnfJZzulRsN+swARqY//4b/2&#10;l1Ewg98r6QbI1QsAAP//AwBQSwECLQAUAAYACAAAACEA2+H2y+4AAACFAQAAEwAAAAAAAAAAAAAA&#10;AAAAAAAAW0NvbnRlbnRfVHlwZXNdLnhtbFBLAQItABQABgAIAAAAIQBa9CxbvwAAABUBAAALAAAA&#10;AAAAAAAAAAAAAB8BAABfcmVscy8ucmVsc1BLAQItABQABgAIAAAAIQCcLZblwgAAANoAAAAPAAAA&#10;AAAAAAAAAAAAAAcCAABkcnMvZG93bnJldi54bWxQSwUGAAAAAAMAAwC3AAAA9gIAAAAA&#10;" path="m9540,11535l9540,,,,,11535e" filled="f">
                  <v:path arrowok="t" o:connecttype="custom" o:connectlocs="9540,15840;9540,4305;0,4305;0,15840" o:connectangles="0,0,0,0"/>
                </v:shape>
                <w10:wrap anchorx="page" anchory="page"/>
              </v:group>
            </w:pict>
          </mc:Fallback>
        </mc:AlternateContent>
      </w:r>
    </w:p>
    <w:p w14:paraId="2EA21E84" w14:textId="77777777" w:rsidR="00F74E14" w:rsidRDefault="00F74E14">
      <w:pPr>
        <w:pStyle w:val="Brdtekst"/>
        <w:spacing w:before="9"/>
        <w:rPr>
          <w:rFonts w:ascii="Arial"/>
          <w:sz w:val="15"/>
        </w:rPr>
      </w:pPr>
    </w:p>
    <w:p w14:paraId="1C796E52" w14:textId="77777777" w:rsidR="00F74E14" w:rsidRPr="00105389" w:rsidRDefault="001C086A">
      <w:pPr>
        <w:spacing w:before="93"/>
        <w:ind w:left="266"/>
        <w:rPr>
          <w:rFonts w:ascii="Arial"/>
          <w:sz w:val="20"/>
          <w:lang w:val="da-DK"/>
        </w:rPr>
      </w:pPr>
      <w:r w:rsidRPr="00105389">
        <w:rPr>
          <w:rFonts w:ascii="Arial"/>
          <w:sz w:val="20"/>
          <w:lang w:val="da-DK"/>
        </w:rPr>
        <w:t>Pt. er mundtligt informeret om rationale for behandling</w:t>
      </w:r>
    </w:p>
    <w:p w14:paraId="7989F463" w14:textId="77777777" w:rsidR="00F74E14" w:rsidRPr="00105389" w:rsidRDefault="001C086A">
      <w:pPr>
        <w:tabs>
          <w:tab w:val="left" w:pos="5482"/>
          <w:tab w:val="left" w:pos="6788"/>
        </w:tabs>
        <w:spacing w:before="2" w:line="245" w:lineRule="exact"/>
        <w:ind w:left="266"/>
        <w:rPr>
          <w:rFonts w:ascii="Symbol" w:hAnsi="Symbol"/>
          <w:sz w:val="20"/>
          <w:lang w:val="da-DK"/>
        </w:rPr>
      </w:pPr>
      <w:r w:rsidRPr="00105389">
        <w:rPr>
          <w:rFonts w:ascii="Arial" w:hAnsi="Arial"/>
          <w:sz w:val="20"/>
          <w:lang w:val="da-DK"/>
        </w:rPr>
        <w:t>samt mulige risici</w:t>
      </w:r>
      <w:r w:rsidRPr="00105389">
        <w:rPr>
          <w:rFonts w:ascii="Arial" w:hAnsi="Arial"/>
          <w:spacing w:val="-6"/>
          <w:sz w:val="20"/>
          <w:lang w:val="da-DK"/>
        </w:rPr>
        <w:t xml:space="preserve"> </w:t>
      </w:r>
      <w:r w:rsidRPr="00105389">
        <w:rPr>
          <w:rFonts w:ascii="Arial" w:hAnsi="Arial"/>
          <w:sz w:val="20"/>
          <w:lang w:val="da-DK"/>
        </w:rPr>
        <w:t>forbundet</w:t>
      </w:r>
      <w:r w:rsidRPr="00105389">
        <w:rPr>
          <w:rFonts w:ascii="Arial" w:hAnsi="Arial"/>
          <w:spacing w:val="1"/>
          <w:sz w:val="20"/>
          <w:lang w:val="da-DK"/>
        </w:rPr>
        <w:t xml:space="preserve"> </w:t>
      </w:r>
      <w:r w:rsidRPr="00105389">
        <w:rPr>
          <w:rFonts w:ascii="Arial" w:hAnsi="Arial"/>
          <w:sz w:val="20"/>
          <w:lang w:val="da-DK"/>
        </w:rPr>
        <w:t>hermed</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p w14:paraId="3C716770" w14:textId="77777777" w:rsidR="00F74E14" w:rsidRPr="00105389" w:rsidRDefault="001C086A">
      <w:pPr>
        <w:tabs>
          <w:tab w:val="left" w:pos="5482"/>
          <w:tab w:val="left" w:pos="6788"/>
        </w:tabs>
        <w:spacing w:line="245" w:lineRule="exact"/>
        <w:ind w:left="266"/>
        <w:rPr>
          <w:rFonts w:ascii="Symbol" w:hAnsi="Symbol"/>
          <w:sz w:val="20"/>
          <w:lang w:val="da-DK"/>
        </w:rPr>
      </w:pPr>
      <w:r w:rsidRPr="00105389">
        <w:rPr>
          <w:rFonts w:ascii="Arial" w:hAnsi="Arial"/>
          <w:sz w:val="20"/>
          <w:lang w:val="da-DK"/>
        </w:rPr>
        <w:t>Skriftlig</w:t>
      </w:r>
      <w:r w:rsidRPr="00105389">
        <w:rPr>
          <w:rFonts w:ascii="Arial" w:hAnsi="Arial"/>
          <w:spacing w:val="-4"/>
          <w:sz w:val="20"/>
          <w:lang w:val="da-DK"/>
        </w:rPr>
        <w:t xml:space="preserve"> </w:t>
      </w:r>
      <w:r w:rsidRPr="00105389">
        <w:rPr>
          <w:rFonts w:ascii="Arial" w:hAnsi="Arial"/>
          <w:sz w:val="20"/>
          <w:lang w:val="da-DK"/>
        </w:rPr>
        <w:t>patientinformation</w:t>
      </w:r>
      <w:r w:rsidRPr="00105389">
        <w:rPr>
          <w:rFonts w:ascii="Arial" w:hAnsi="Arial"/>
          <w:spacing w:val="-2"/>
          <w:sz w:val="20"/>
          <w:lang w:val="da-DK"/>
        </w:rPr>
        <w:t xml:space="preserve"> </w:t>
      </w:r>
      <w:r w:rsidRPr="00105389">
        <w:rPr>
          <w:rFonts w:ascii="Arial" w:hAnsi="Arial"/>
          <w:sz w:val="20"/>
          <w:lang w:val="da-DK"/>
        </w:rPr>
        <w:t>udleveret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p w14:paraId="6599F5B3" w14:textId="77777777" w:rsidR="00F74E14" w:rsidRPr="00105389" w:rsidRDefault="001C086A">
      <w:pPr>
        <w:tabs>
          <w:tab w:val="left" w:pos="5482"/>
          <w:tab w:val="left" w:pos="6788"/>
        </w:tabs>
        <w:ind w:left="266"/>
        <w:rPr>
          <w:rFonts w:ascii="Symbol" w:hAnsi="Symbol"/>
          <w:sz w:val="20"/>
          <w:lang w:val="da-DK"/>
        </w:rPr>
      </w:pPr>
      <w:r w:rsidRPr="00105389">
        <w:rPr>
          <w:rFonts w:ascii="Arial" w:hAnsi="Arial"/>
          <w:sz w:val="20"/>
          <w:lang w:val="da-DK"/>
        </w:rPr>
        <w:t>Behandlingskort</w:t>
      </w:r>
      <w:r w:rsidRPr="00105389">
        <w:rPr>
          <w:rFonts w:ascii="Arial" w:hAnsi="Arial"/>
          <w:spacing w:val="-4"/>
          <w:sz w:val="20"/>
          <w:lang w:val="da-DK"/>
        </w:rPr>
        <w:t xml:space="preserve"> </w:t>
      </w:r>
      <w:r w:rsidRPr="00105389">
        <w:rPr>
          <w:rFonts w:ascii="Arial" w:hAnsi="Arial"/>
          <w:sz w:val="20"/>
          <w:lang w:val="da-DK"/>
        </w:rPr>
        <w:t>udleveret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p w14:paraId="5E73AED7" w14:textId="77777777" w:rsidR="00F74E14" w:rsidRPr="00105389" w:rsidRDefault="00F74E14">
      <w:pPr>
        <w:pStyle w:val="Brdtekst"/>
        <w:rPr>
          <w:rFonts w:ascii="Symbol" w:hAnsi="Symbol"/>
          <w:lang w:val="da-DK"/>
        </w:rPr>
      </w:pPr>
    </w:p>
    <w:p w14:paraId="17074DA4" w14:textId="77777777" w:rsidR="00F74E14" w:rsidRPr="00105389" w:rsidRDefault="001C086A">
      <w:pPr>
        <w:tabs>
          <w:tab w:val="left" w:pos="5482"/>
          <w:tab w:val="left" w:pos="6788"/>
        </w:tabs>
        <w:spacing w:before="166"/>
        <w:ind w:left="266"/>
        <w:rPr>
          <w:rFonts w:ascii="Symbol" w:hAnsi="Symbol"/>
          <w:sz w:val="20"/>
          <w:lang w:val="da-DK"/>
        </w:rPr>
      </w:pPr>
      <w:r w:rsidRPr="00105389">
        <w:rPr>
          <w:rFonts w:ascii="Arial" w:hAnsi="Arial"/>
          <w:sz w:val="20"/>
          <w:lang w:val="da-DK"/>
        </w:rPr>
        <w:t>Har patienten tegn</w:t>
      </w:r>
      <w:r w:rsidRPr="00105389">
        <w:rPr>
          <w:rFonts w:ascii="Arial" w:hAnsi="Arial"/>
          <w:spacing w:val="-5"/>
          <w:sz w:val="20"/>
          <w:lang w:val="da-DK"/>
        </w:rPr>
        <w:t xml:space="preserve"> </w:t>
      </w:r>
      <w:r w:rsidRPr="00105389">
        <w:rPr>
          <w:rFonts w:ascii="Arial" w:hAnsi="Arial"/>
          <w:sz w:val="20"/>
          <w:lang w:val="da-DK"/>
        </w:rPr>
        <w:t>på</w:t>
      </w:r>
      <w:r w:rsidRPr="00105389">
        <w:rPr>
          <w:rFonts w:ascii="Arial" w:hAnsi="Arial"/>
          <w:spacing w:val="-3"/>
          <w:sz w:val="20"/>
          <w:lang w:val="da-DK"/>
        </w:rPr>
        <w:t xml:space="preserve"> </w:t>
      </w:r>
      <w:r w:rsidRPr="00105389">
        <w:rPr>
          <w:rFonts w:ascii="Arial" w:hAnsi="Arial"/>
          <w:sz w:val="20"/>
          <w:lang w:val="da-DK"/>
        </w:rPr>
        <w:t>infektion</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p w14:paraId="0E3A56C3" w14:textId="77777777" w:rsidR="00F74E14" w:rsidRPr="00105389" w:rsidRDefault="00F74E14">
      <w:pPr>
        <w:pStyle w:val="Brdtekst"/>
        <w:spacing w:before="7"/>
        <w:rPr>
          <w:rFonts w:ascii="Symbol" w:hAnsi="Symbol"/>
          <w:sz w:val="18"/>
          <w:lang w:val="da-DK"/>
        </w:rPr>
      </w:pPr>
    </w:p>
    <w:p w14:paraId="6F1F2392" w14:textId="77777777" w:rsidR="00F74E14" w:rsidRPr="00105389" w:rsidRDefault="001C086A">
      <w:pPr>
        <w:ind w:left="266"/>
        <w:rPr>
          <w:rFonts w:ascii="Arial"/>
          <w:i/>
          <w:sz w:val="20"/>
          <w:lang w:val="da-DK"/>
        </w:rPr>
      </w:pPr>
      <w:r w:rsidRPr="00105389">
        <w:rPr>
          <w:rFonts w:ascii="Arial"/>
          <w:i/>
          <w:sz w:val="20"/>
          <w:lang w:val="da-DK"/>
        </w:rPr>
        <w:t>Tuberkulose</w:t>
      </w:r>
    </w:p>
    <w:p w14:paraId="18A482BD" w14:textId="77777777" w:rsidR="00F74E14" w:rsidRPr="00105389" w:rsidRDefault="001C086A">
      <w:pPr>
        <w:tabs>
          <w:tab w:val="left" w:pos="5482"/>
          <w:tab w:val="left" w:pos="6788"/>
        </w:tabs>
        <w:spacing w:before="1" w:line="245" w:lineRule="exact"/>
        <w:ind w:left="266"/>
        <w:rPr>
          <w:rFonts w:ascii="Symbol" w:hAnsi="Symbol"/>
          <w:sz w:val="20"/>
          <w:lang w:val="da-DK"/>
        </w:rPr>
      </w:pPr>
      <w:r w:rsidRPr="00105389">
        <w:rPr>
          <w:rFonts w:ascii="Arial" w:hAnsi="Arial"/>
          <w:sz w:val="20"/>
          <w:lang w:val="da-DK"/>
        </w:rPr>
        <w:t xml:space="preserve">IGRA-test (evt. </w:t>
      </w:r>
      <w:proofErr w:type="spellStart"/>
      <w:r w:rsidRPr="00105389">
        <w:rPr>
          <w:rFonts w:ascii="Arial" w:hAnsi="Arial"/>
          <w:sz w:val="20"/>
          <w:lang w:val="da-DK"/>
        </w:rPr>
        <w:t>Mantoux</w:t>
      </w:r>
      <w:proofErr w:type="spellEnd"/>
      <w:r w:rsidRPr="00105389">
        <w:rPr>
          <w:rFonts w:ascii="Arial" w:hAnsi="Arial"/>
          <w:spacing w:val="-6"/>
          <w:sz w:val="20"/>
          <w:lang w:val="da-DK"/>
        </w:rPr>
        <w:t xml:space="preserve"> </w:t>
      </w:r>
      <w:r w:rsidRPr="00105389">
        <w:rPr>
          <w:rFonts w:ascii="Arial" w:hAnsi="Arial"/>
          <w:sz w:val="20"/>
          <w:lang w:val="da-DK"/>
        </w:rPr>
        <w:t>test) foretaget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p w14:paraId="7A38594F" w14:textId="77777777" w:rsidR="00F74E14" w:rsidRPr="00105389" w:rsidRDefault="001C086A">
      <w:pPr>
        <w:tabs>
          <w:tab w:val="left" w:pos="5482"/>
          <w:tab w:val="left" w:pos="6788"/>
        </w:tabs>
        <w:ind w:left="266"/>
        <w:rPr>
          <w:rFonts w:ascii="Symbol" w:hAnsi="Symbol"/>
          <w:sz w:val="20"/>
          <w:lang w:val="da-DK"/>
        </w:rPr>
      </w:pPr>
      <w:r w:rsidRPr="00105389">
        <w:rPr>
          <w:rFonts w:ascii="Arial" w:hAnsi="Arial"/>
          <w:sz w:val="20"/>
          <w:lang w:val="da-DK"/>
        </w:rPr>
        <w:t>Røntgen af</w:t>
      </w:r>
      <w:r w:rsidRPr="00105389">
        <w:rPr>
          <w:rFonts w:ascii="Arial" w:hAnsi="Arial"/>
          <w:spacing w:val="-4"/>
          <w:sz w:val="20"/>
          <w:lang w:val="da-DK"/>
        </w:rPr>
        <w:t xml:space="preserve"> </w:t>
      </w:r>
      <w:r w:rsidRPr="00105389">
        <w:rPr>
          <w:rFonts w:ascii="Arial" w:hAnsi="Arial"/>
          <w:sz w:val="20"/>
          <w:lang w:val="da-DK"/>
        </w:rPr>
        <w:t>thorax</w:t>
      </w:r>
      <w:r w:rsidRPr="00105389">
        <w:rPr>
          <w:rFonts w:ascii="Arial" w:hAnsi="Arial"/>
          <w:spacing w:val="-1"/>
          <w:sz w:val="20"/>
          <w:lang w:val="da-DK"/>
        </w:rPr>
        <w:t xml:space="preserve"> </w:t>
      </w:r>
      <w:r w:rsidRPr="00105389">
        <w:rPr>
          <w:rFonts w:ascii="Arial" w:hAnsi="Arial"/>
          <w:sz w:val="20"/>
          <w:lang w:val="da-DK"/>
        </w:rPr>
        <w:t>taget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p w14:paraId="5EC724EF" w14:textId="77777777" w:rsidR="00F74E14" w:rsidRPr="00105389" w:rsidRDefault="001C086A">
      <w:pPr>
        <w:tabs>
          <w:tab w:val="left" w:pos="5482"/>
          <w:tab w:val="left" w:pos="6788"/>
        </w:tabs>
        <w:spacing w:before="2"/>
        <w:ind w:left="266"/>
        <w:rPr>
          <w:rFonts w:ascii="Symbol" w:hAnsi="Symbol"/>
          <w:sz w:val="20"/>
          <w:lang w:val="da-DK"/>
        </w:rPr>
      </w:pPr>
      <w:r w:rsidRPr="00105389">
        <w:rPr>
          <w:rFonts w:ascii="Arial" w:hAnsi="Arial"/>
          <w:sz w:val="20"/>
          <w:lang w:val="da-DK"/>
        </w:rPr>
        <w:t>Risiko for aktiv eller</w:t>
      </w:r>
      <w:r w:rsidRPr="00105389">
        <w:rPr>
          <w:rFonts w:ascii="Arial" w:hAnsi="Arial"/>
          <w:spacing w:val="-9"/>
          <w:sz w:val="20"/>
          <w:lang w:val="da-DK"/>
        </w:rPr>
        <w:t xml:space="preserve"> </w:t>
      </w:r>
      <w:r w:rsidRPr="00105389">
        <w:rPr>
          <w:rFonts w:ascii="Arial" w:hAnsi="Arial"/>
          <w:sz w:val="20"/>
          <w:lang w:val="da-DK"/>
        </w:rPr>
        <w:t>latent</w:t>
      </w:r>
      <w:r w:rsidRPr="00105389">
        <w:rPr>
          <w:rFonts w:ascii="Arial" w:hAnsi="Arial"/>
          <w:spacing w:val="2"/>
          <w:sz w:val="20"/>
          <w:lang w:val="da-DK"/>
        </w:rPr>
        <w:t xml:space="preserve"> </w:t>
      </w:r>
      <w:r w:rsidRPr="00105389">
        <w:rPr>
          <w:rFonts w:ascii="Arial" w:hAnsi="Arial"/>
          <w:sz w:val="20"/>
          <w:lang w:val="da-DK"/>
        </w:rPr>
        <w:t>TB</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p w14:paraId="18E0BAC5" w14:textId="77777777" w:rsidR="00F74E14" w:rsidRPr="00105389" w:rsidRDefault="00F74E14">
      <w:pPr>
        <w:pStyle w:val="Brdtekst"/>
        <w:spacing w:before="6"/>
        <w:rPr>
          <w:rFonts w:ascii="Symbol" w:hAnsi="Symbol"/>
          <w:sz w:val="18"/>
          <w:lang w:val="da-DK"/>
        </w:rPr>
      </w:pPr>
    </w:p>
    <w:p w14:paraId="0069D829" w14:textId="77777777" w:rsidR="00F74E14" w:rsidRPr="00105389" w:rsidRDefault="001C086A">
      <w:pPr>
        <w:spacing w:before="1"/>
        <w:ind w:left="266"/>
        <w:rPr>
          <w:rFonts w:ascii="Arial"/>
          <w:i/>
          <w:sz w:val="20"/>
          <w:lang w:val="da-DK"/>
        </w:rPr>
      </w:pPr>
      <w:r w:rsidRPr="00105389">
        <w:rPr>
          <w:rFonts w:ascii="Arial"/>
          <w:i/>
          <w:sz w:val="20"/>
          <w:lang w:val="da-DK"/>
        </w:rPr>
        <w:t>Humant Papillom Virus (HPV)</w:t>
      </w:r>
    </w:p>
    <w:p w14:paraId="77964008" w14:textId="77777777" w:rsidR="00F74E14" w:rsidRPr="00105389" w:rsidRDefault="001C086A">
      <w:pPr>
        <w:tabs>
          <w:tab w:val="left" w:pos="5482"/>
          <w:tab w:val="left" w:pos="6788"/>
          <w:tab w:val="left" w:pos="8092"/>
        </w:tabs>
        <w:spacing w:before="1" w:line="245" w:lineRule="exact"/>
        <w:ind w:left="266"/>
        <w:rPr>
          <w:rFonts w:ascii="Symbol" w:hAnsi="Symbol"/>
          <w:sz w:val="20"/>
          <w:lang w:val="da-DK"/>
        </w:rPr>
      </w:pPr>
      <w:proofErr w:type="spellStart"/>
      <w:r w:rsidRPr="00105389">
        <w:rPr>
          <w:rFonts w:ascii="Arial" w:hAnsi="Arial"/>
          <w:sz w:val="20"/>
          <w:lang w:val="da-DK"/>
        </w:rPr>
        <w:t>Smear</w:t>
      </w:r>
      <w:proofErr w:type="spellEnd"/>
      <w:r w:rsidRPr="00105389">
        <w:rPr>
          <w:rFonts w:ascii="Arial" w:hAnsi="Arial"/>
          <w:sz w:val="20"/>
          <w:lang w:val="da-DK"/>
        </w:rPr>
        <w:t>-kontrol</w:t>
      </w:r>
      <w:r w:rsidRPr="00105389">
        <w:rPr>
          <w:rFonts w:ascii="Arial" w:hAnsi="Arial"/>
          <w:spacing w:val="-4"/>
          <w:sz w:val="20"/>
          <w:lang w:val="da-DK"/>
        </w:rPr>
        <w:t xml:space="preserve"> </w:t>
      </w:r>
      <w:r w:rsidRPr="00105389">
        <w:rPr>
          <w:rFonts w:ascii="Arial" w:hAnsi="Arial"/>
          <w:sz w:val="20"/>
          <w:lang w:val="da-DK"/>
        </w:rPr>
        <w:t>anbefalet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 xml:space="preserve">nej </w:t>
      </w:r>
      <w:r>
        <w:rPr>
          <w:rFonts w:ascii="Symbol" w:hAnsi="Symbol"/>
          <w:sz w:val="20"/>
        </w:rPr>
        <w:t></w:t>
      </w:r>
      <w:r w:rsidRPr="00105389">
        <w:rPr>
          <w:sz w:val="20"/>
          <w:lang w:val="da-DK"/>
        </w:rPr>
        <w:tab/>
      </w:r>
      <w:r w:rsidRPr="00105389">
        <w:rPr>
          <w:rFonts w:ascii="Arial" w:hAnsi="Arial"/>
          <w:sz w:val="20"/>
          <w:lang w:val="da-DK"/>
        </w:rPr>
        <w:t>ej relevant</w:t>
      </w:r>
      <w:r w:rsidRPr="00105389">
        <w:rPr>
          <w:rFonts w:ascii="Arial" w:hAnsi="Arial"/>
          <w:spacing w:val="-7"/>
          <w:sz w:val="20"/>
          <w:lang w:val="da-DK"/>
        </w:rPr>
        <w:t xml:space="preserve"> </w:t>
      </w:r>
      <w:r>
        <w:rPr>
          <w:rFonts w:ascii="Symbol" w:hAnsi="Symbol"/>
          <w:sz w:val="20"/>
        </w:rPr>
        <w:t></w:t>
      </w:r>
    </w:p>
    <w:p w14:paraId="5A237A60" w14:textId="77777777" w:rsidR="00F74E14" w:rsidRPr="00105389" w:rsidRDefault="001C086A">
      <w:pPr>
        <w:tabs>
          <w:tab w:val="left" w:pos="5482"/>
          <w:tab w:val="left" w:pos="6788"/>
          <w:tab w:val="left" w:pos="8092"/>
        </w:tabs>
        <w:ind w:left="266"/>
        <w:rPr>
          <w:rFonts w:ascii="Symbol" w:hAnsi="Symbol"/>
          <w:sz w:val="20"/>
          <w:lang w:val="da-DK"/>
        </w:rPr>
      </w:pPr>
      <w:r w:rsidRPr="00105389">
        <w:rPr>
          <w:rFonts w:ascii="Arial" w:hAnsi="Arial"/>
          <w:sz w:val="20"/>
          <w:lang w:val="da-DK"/>
        </w:rPr>
        <w:t>HPV-vaccination</w:t>
      </w:r>
      <w:r w:rsidRPr="00105389">
        <w:rPr>
          <w:rFonts w:ascii="Arial" w:hAnsi="Arial"/>
          <w:spacing w:val="-3"/>
          <w:sz w:val="20"/>
          <w:lang w:val="da-DK"/>
        </w:rPr>
        <w:t xml:space="preserve"> </w:t>
      </w:r>
      <w:r w:rsidRPr="00105389">
        <w:rPr>
          <w:rFonts w:ascii="Arial" w:hAnsi="Arial"/>
          <w:sz w:val="20"/>
          <w:lang w:val="da-DK"/>
        </w:rPr>
        <w:t>anbefalet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 xml:space="preserve">nej </w:t>
      </w:r>
      <w:r>
        <w:rPr>
          <w:rFonts w:ascii="Symbol" w:hAnsi="Symbol"/>
          <w:sz w:val="20"/>
        </w:rPr>
        <w:t></w:t>
      </w:r>
      <w:r w:rsidRPr="00105389">
        <w:rPr>
          <w:sz w:val="20"/>
          <w:lang w:val="da-DK"/>
        </w:rPr>
        <w:tab/>
      </w:r>
      <w:r w:rsidRPr="00105389">
        <w:rPr>
          <w:rFonts w:ascii="Arial" w:hAnsi="Arial"/>
          <w:sz w:val="20"/>
          <w:lang w:val="da-DK"/>
        </w:rPr>
        <w:t>ej relevant</w:t>
      </w:r>
      <w:r w:rsidRPr="00105389">
        <w:rPr>
          <w:rFonts w:ascii="Arial" w:hAnsi="Arial"/>
          <w:spacing w:val="-6"/>
          <w:sz w:val="20"/>
          <w:lang w:val="da-DK"/>
        </w:rPr>
        <w:t xml:space="preserve"> </w:t>
      </w:r>
      <w:r>
        <w:rPr>
          <w:rFonts w:ascii="Symbol" w:hAnsi="Symbol"/>
          <w:sz w:val="20"/>
        </w:rPr>
        <w:t></w:t>
      </w:r>
    </w:p>
    <w:p w14:paraId="1E1AACB0" w14:textId="77777777" w:rsidR="00F74E14" w:rsidRPr="00105389" w:rsidRDefault="00F74E14">
      <w:pPr>
        <w:pStyle w:val="Brdtekst"/>
        <w:spacing w:before="9"/>
        <w:rPr>
          <w:rFonts w:ascii="Symbol" w:hAnsi="Symbol"/>
          <w:sz w:val="18"/>
          <w:lang w:val="da-DK"/>
        </w:rPr>
      </w:pPr>
    </w:p>
    <w:p w14:paraId="005FA06D" w14:textId="77777777" w:rsidR="00F74E14" w:rsidRPr="00105389" w:rsidRDefault="001C086A">
      <w:pPr>
        <w:ind w:left="266"/>
        <w:rPr>
          <w:rFonts w:ascii="Arial"/>
          <w:i/>
          <w:sz w:val="20"/>
          <w:lang w:val="da-DK"/>
        </w:rPr>
      </w:pPr>
      <w:r w:rsidRPr="00105389">
        <w:rPr>
          <w:rFonts w:ascii="Arial"/>
          <w:i/>
          <w:sz w:val="20"/>
          <w:lang w:val="da-DK"/>
        </w:rPr>
        <w:t>Hepatitis B</w:t>
      </w:r>
    </w:p>
    <w:p w14:paraId="6F9A29D2" w14:textId="77777777" w:rsidR="00F74E14" w:rsidRPr="00105389" w:rsidRDefault="001C086A">
      <w:pPr>
        <w:tabs>
          <w:tab w:val="left" w:pos="5482"/>
          <w:tab w:val="left" w:pos="6788"/>
        </w:tabs>
        <w:spacing w:before="1" w:line="245" w:lineRule="exact"/>
        <w:ind w:left="266"/>
        <w:rPr>
          <w:rFonts w:ascii="Symbol" w:hAnsi="Symbol"/>
          <w:sz w:val="20"/>
          <w:lang w:val="da-DK"/>
        </w:rPr>
      </w:pPr>
      <w:proofErr w:type="spellStart"/>
      <w:r w:rsidRPr="00105389">
        <w:rPr>
          <w:rFonts w:ascii="Arial" w:hAnsi="Arial"/>
          <w:sz w:val="20"/>
          <w:lang w:val="da-DK"/>
        </w:rPr>
        <w:t>HBsAg</w:t>
      </w:r>
      <w:proofErr w:type="spellEnd"/>
      <w:r w:rsidRPr="00105389">
        <w:rPr>
          <w:rFonts w:ascii="Arial" w:hAnsi="Arial"/>
          <w:sz w:val="20"/>
          <w:lang w:val="da-DK"/>
        </w:rPr>
        <w:t xml:space="preserve">, </w:t>
      </w:r>
      <w:proofErr w:type="spellStart"/>
      <w:r w:rsidRPr="00105389">
        <w:rPr>
          <w:rFonts w:ascii="Arial" w:hAnsi="Arial"/>
          <w:sz w:val="20"/>
          <w:lang w:val="da-DK"/>
        </w:rPr>
        <w:t>anti-HBc</w:t>
      </w:r>
      <w:proofErr w:type="spellEnd"/>
      <w:r w:rsidRPr="00105389">
        <w:rPr>
          <w:rFonts w:ascii="Arial" w:hAnsi="Arial"/>
          <w:sz w:val="20"/>
          <w:lang w:val="da-DK"/>
        </w:rPr>
        <w:t xml:space="preserve"> og</w:t>
      </w:r>
      <w:r w:rsidRPr="00105389">
        <w:rPr>
          <w:rFonts w:ascii="Arial" w:hAnsi="Arial"/>
          <w:spacing w:val="-5"/>
          <w:sz w:val="20"/>
          <w:lang w:val="da-DK"/>
        </w:rPr>
        <w:t xml:space="preserve"> </w:t>
      </w:r>
      <w:proofErr w:type="spellStart"/>
      <w:r w:rsidRPr="00105389">
        <w:rPr>
          <w:rFonts w:ascii="Arial" w:hAnsi="Arial"/>
          <w:sz w:val="20"/>
          <w:lang w:val="da-DK"/>
        </w:rPr>
        <w:t>anti-HBs</w:t>
      </w:r>
      <w:proofErr w:type="spellEnd"/>
      <w:r w:rsidRPr="00105389">
        <w:rPr>
          <w:rFonts w:ascii="Arial" w:hAnsi="Arial"/>
          <w:spacing w:val="-1"/>
          <w:sz w:val="20"/>
          <w:lang w:val="da-DK"/>
        </w:rPr>
        <w:t xml:space="preserve"> </w:t>
      </w:r>
      <w:r w:rsidRPr="00105389">
        <w:rPr>
          <w:rFonts w:ascii="Arial" w:hAnsi="Arial"/>
          <w:sz w:val="20"/>
          <w:lang w:val="da-DK"/>
        </w:rPr>
        <w:t>målt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1"/>
          <w:sz w:val="20"/>
          <w:lang w:val="da-DK"/>
        </w:rPr>
        <w:t xml:space="preserve"> </w:t>
      </w:r>
      <w:r>
        <w:rPr>
          <w:rFonts w:ascii="Symbol" w:hAnsi="Symbol"/>
          <w:sz w:val="20"/>
        </w:rPr>
        <w:t></w:t>
      </w:r>
    </w:p>
    <w:p w14:paraId="08434E49" w14:textId="77777777" w:rsidR="00F74E14" w:rsidRPr="00105389" w:rsidRDefault="001C086A">
      <w:pPr>
        <w:tabs>
          <w:tab w:val="left" w:pos="5482"/>
          <w:tab w:val="left" w:pos="6788"/>
          <w:tab w:val="left" w:pos="8092"/>
        </w:tabs>
        <w:ind w:left="266"/>
        <w:rPr>
          <w:rFonts w:ascii="Symbol" w:hAnsi="Symbol"/>
          <w:sz w:val="20"/>
          <w:lang w:val="da-DK"/>
        </w:rPr>
      </w:pPr>
      <w:r w:rsidRPr="00105389">
        <w:rPr>
          <w:rFonts w:ascii="Arial" w:hAnsi="Arial"/>
          <w:sz w:val="20"/>
          <w:lang w:val="da-DK"/>
        </w:rPr>
        <w:t>HBV-vaccination</w:t>
      </w:r>
      <w:r w:rsidRPr="00105389">
        <w:rPr>
          <w:rFonts w:ascii="Arial" w:hAnsi="Arial"/>
          <w:spacing w:val="-3"/>
          <w:sz w:val="20"/>
          <w:lang w:val="da-DK"/>
        </w:rPr>
        <w:t xml:space="preserve"> </w:t>
      </w:r>
      <w:r w:rsidRPr="00105389">
        <w:rPr>
          <w:rFonts w:ascii="Arial" w:hAnsi="Arial"/>
          <w:sz w:val="20"/>
          <w:lang w:val="da-DK"/>
        </w:rPr>
        <w:t>anbefalet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 xml:space="preserve">nej </w:t>
      </w:r>
      <w:r>
        <w:rPr>
          <w:rFonts w:ascii="Symbol" w:hAnsi="Symbol"/>
          <w:sz w:val="20"/>
        </w:rPr>
        <w:t></w:t>
      </w:r>
      <w:r w:rsidRPr="00105389">
        <w:rPr>
          <w:sz w:val="20"/>
          <w:lang w:val="da-DK"/>
        </w:rPr>
        <w:tab/>
      </w:r>
      <w:r w:rsidRPr="00105389">
        <w:rPr>
          <w:rFonts w:ascii="Arial" w:hAnsi="Arial"/>
          <w:sz w:val="20"/>
          <w:lang w:val="da-DK"/>
        </w:rPr>
        <w:t xml:space="preserve">ej relevant </w:t>
      </w:r>
      <w:r>
        <w:rPr>
          <w:rFonts w:ascii="Symbol" w:hAnsi="Symbol"/>
          <w:sz w:val="20"/>
        </w:rPr>
        <w:t></w:t>
      </w:r>
    </w:p>
    <w:p w14:paraId="191F0516" w14:textId="77777777" w:rsidR="00F74E14" w:rsidRPr="00105389" w:rsidRDefault="00F74E14">
      <w:pPr>
        <w:pStyle w:val="Brdtekst"/>
        <w:spacing w:before="9"/>
        <w:rPr>
          <w:rFonts w:ascii="Symbol" w:hAnsi="Symbol"/>
          <w:sz w:val="18"/>
          <w:lang w:val="da-DK"/>
        </w:rPr>
      </w:pPr>
    </w:p>
    <w:p w14:paraId="5612EA2B" w14:textId="77777777" w:rsidR="00F74E14" w:rsidRPr="00105389" w:rsidRDefault="001C086A">
      <w:pPr>
        <w:ind w:left="266"/>
        <w:rPr>
          <w:rFonts w:ascii="Arial"/>
          <w:i/>
          <w:sz w:val="20"/>
          <w:lang w:val="da-DK"/>
        </w:rPr>
      </w:pPr>
      <w:proofErr w:type="spellStart"/>
      <w:r w:rsidRPr="00105389">
        <w:rPr>
          <w:rFonts w:ascii="Arial"/>
          <w:i/>
          <w:sz w:val="20"/>
          <w:lang w:val="da-DK"/>
        </w:rPr>
        <w:t>Varicella</w:t>
      </w:r>
      <w:proofErr w:type="spellEnd"/>
      <w:r w:rsidRPr="00105389">
        <w:rPr>
          <w:rFonts w:ascii="Arial"/>
          <w:i/>
          <w:sz w:val="20"/>
          <w:lang w:val="da-DK"/>
        </w:rPr>
        <w:t xml:space="preserve"> </w:t>
      </w:r>
      <w:proofErr w:type="spellStart"/>
      <w:r w:rsidRPr="00105389">
        <w:rPr>
          <w:rFonts w:ascii="Arial"/>
          <w:i/>
          <w:sz w:val="20"/>
          <w:lang w:val="da-DK"/>
        </w:rPr>
        <w:t>Zoster</w:t>
      </w:r>
      <w:proofErr w:type="spellEnd"/>
      <w:r w:rsidRPr="00105389">
        <w:rPr>
          <w:rFonts w:ascii="Arial"/>
          <w:i/>
          <w:sz w:val="20"/>
          <w:lang w:val="da-DK"/>
        </w:rPr>
        <w:t xml:space="preserve"> Virus (VZV)</w:t>
      </w:r>
    </w:p>
    <w:p w14:paraId="2EAE50E8" w14:textId="77777777" w:rsidR="00F74E14" w:rsidRPr="00105389" w:rsidRDefault="001C086A">
      <w:pPr>
        <w:tabs>
          <w:tab w:val="left" w:pos="5482"/>
          <w:tab w:val="left" w:pos="6788"/>
        </w:tabs>
        <w:spacing w:before="1" w:line="245" w:lineRule="exact"/>
        <w:ind w:left="266"/>
        <w:rPr>
          <w:rFonts w:ascii="Symbol" w:hAnsi="Symbol"/>
          <w:sz w:val="20"/>
          <w:lang w:val="da-DK"/>
        </w:rPr>
      </w:pPr>
      <w:r w:rsidRPr="00105389">
        <w:rPr>
          <w:rFonts w:ascii="Arial" w:hAnsi="Arial"/>
          <w:sz w:val="20"/>
          <w:lang w:val="da-DK"/>
        </w:rPr>
        <w:t xml:space="preserve">Tidligere </w:t>
      </w:r>
      <w:proofErr w:type="spellStart"/>
      <w:r w:rsidRPr="00105389">
        <w:rPr>
          <w:rFonts w:ascii="Arial" w:hAnsi="Arial"/>
          <w:sz w:val="20"/>
          <w:lang w:val="da-DK"/>
        </w:rPr>
        <w:t>variceller</w:t>
      </w:r>
      <w:proofErr w:type="spellEnd"/>
      <w:r w:rsidRPr="00105389">
        <w:rPr>
          <w:rFonts w:ascii="Arial" w:hAnsi="Arial"/>
          <w:sz w:val="20"/>
          <w:lang w:val="da-DK"/>
        </w:rPr>
        <w:t xml:space="preserve"> /</w:t>
      </w:r>
      <w:r w:rsidRPr="00105389">
        <w:rPr>
          <w:rFonts w:ascii="Arial" w:hAnsi="Arial"/>
          <w:spacing w:val="-8"/>
          <w:sz w:val="20"/>
          <w:lang w:val="da-DK"/>
        </w:rPr>
        <w:t xml:space="preserve"> </w:t>
      </w:r>
      <w:r w:rsidRPr="00105389">
        <w:rPr>
          <w:rFonts w:ascii="Arial" w:hAnsi="Arial"/>
          <w:sz w:val="20"/>
          <w:lang w:val="da-DK"/>
        </w:rPr>
        <w:t xml:space="preserve">herpes </w:t>
      </w:r>
      <w:proofErr w:type="spellStart"/>
      <w:r w:rsidRPr="00105389">
        <w:rPr>
          <w:rFonts w:ascii="Arial" w:hAnsi="Arial"/>
          <w:sz w:val="20"/>
          <w:lang w:val="da-DK"/>
        </w:rPr>
        <w:t>zoster</w:t>
      </w:r>
      <w:proofErr w:type="spellEnd"/>
      <w:r w:rsidRPr="00105389">
        <w:rPr>
          <w:rFonts w:ascii="Arial" w:hAnsi="Arial"/>
          <w:sz w:val="20"/>
          <w:lang w:val="da-DK"/>
        </w:rPr>
        <w:tab/>
        <w:t>ja</w:t>
      </w:r>
      <w:r w:rsidRPr="00105389">
        <w:rPr>
          <w:rFonts w:ascii="Arial" w:hAnsi="Arial"/>
          <w:spacing w:val="-2"/>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1"/>
          <w:sz w:val="20"/>
          <w:lang w:val="da-DK"/>
        </w:rPr>
        <w:t xml:space="preserve"> </w:t>
      </w:r>
      <w:r>
        <w:rPr>
          <w:rFonts w:ascii="Symbol" w:hAnsi="Symbol"/>
          <w:sz w:val="20"/>
        </w:rPr>
        <w:t></w:t>
      </w:r>
    </w:p>
    <w:p w14:paraId="7062B396" w14:textId="77777777" w:rsidR="00F74E14" w:rsidRPr="00105389" w:rsidRDefault="001C086A">
      <w:pPr>
        <w:tabs>
          <w:tab w:val="left" w:pos="5482"/>
          <w:tab w:val="left" w:pos="6788"/>
          <w:tab w:val="left" w:pos="8092"/>
        </w:tabs>
        <w:ind w:left="266"/>
        <w:rPr>
          <w:rFonts w:ascii="Symbol" w:hAnsi="Symbol"/>
          <w:sz w:val="20"/>
          <w:lang w:val="da-DK"/>
        </w:rPr>
      </w:pPr>
      <w:r w:rsidRPr="00105389">
        <w:rPr>
          <w:rFonts w:ascii="Arial" w:hAnsi="Arial"/>
          <w:sz w:val="20"/>
          <w:lang w:val="da-DK"/>
        </w:rPr>
        <w:t>VZV-vaccination</w:t>
      </w:r>
      <w:r w:rsidRPr="00105389">
        <w:rPr>
          <w:rFonts w:ascii="Arial" w:hAnsi="Arial"/>
          <w:spacing w:val="-4"/>
          <w:sz w:val="20"/>
          <w:lang w:val="da-DK"/>
        </w:rPr>
        <w:t xml:space="preserve"> </w:t>
      </w:r>
      <w:r w:rsidRPr="00105389">
        <w:rPr>
          <w:rFonts w:ascii="Arial" w:hAnsi="Arial"/>
          <w:sz w:val="20"/>
          <w:lang w:val="da-DK"/>
        </w:rPr>
        <w:t>anbefalet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 xml:space="preserve">nej </w:t>
      </w:r>
      <w:r>
        <w:rPr>
          <w:rFonts w:ascii="Symbol" w:hAnsi="Symbol"/>
          <w:sz w:val="20"/>
        </w:rPr>
        <w:t></w:t>
      </w:r>
      <w:r w:rsidRPr="00105389">
        <w:rPr>
          <w:sz w:val="20"/>
          <w:lang w:val="da-DK"/>
        </w:rPr>
        <w:tab/>
      </w:r>
      <w:r w:rsidRPr="00105389">
        <w:rPr>
          <w:rFonts w:ascii="Arial" w:hAnsi="Arial"/>
          <w:sz w:val="20"/>
          <w:lang w:val="da-DK"/>
        </w:rPr>
        <w:t>ej relevant</w:t>
      </w:r>
      <w:r w:rsidRPr="00105389">
        <w:rPr>
          <w:rFonts w:ascii="Arial" w:hAnsi="Arial"/>
          <w:spacing w:val="-1"/>
          <w:sz w:val="20"/>
          <w:lang w:val="da-DK"/>
        </w:rPr>
        <w:t xml:space="preserve"> </w:t>
      </w:r>
      <w:r>
        <w:rPr>
          <w:rFonts w:ascii="Symbol" w:hAnsi="Symbol"/>
          <w:sz w:val="20"/>
        </w:rPr>
        <w:t></w:t>
      </w:r>
    </w:p>
    <w:p w14:paraId="1590837F" w14:textId="77777777" w:rsidR="00F74E14" w:rsidRPr="00105389" w:rsidRDefault="00F74E14">
      <w:pPr>
        <w:pStyle w:val="Brdtekst"/>
        <w:spacing w:before="9"/>
        <w:rPr>
          <w:rFonts w:ascii="Symbol" w:hAnsi="Symbol"/>
          <w:sz w:val="18"/>
          <w:lang w:val="da-DK"/>
        </w:rPr>
      </w:pPr>
    </w:p>
    <w:p w14:paraId="6411584E" w14:textId="77777777" w:rsidR="00F74E14" w:rsidRPr="00105389" w:rsidRDefault="001C086A">
      <w:pPr>
        <w:ind w:left="266"/>
        <w:rPr>
          <w:rFonts w:ascii="Arial"/>
          <w:i/>
          <w:sz w:val="20"/>
          <w:lang w:val="da-DK"/>
        </w:rPr>
      </w:pPr>
      <w:r w:rsidRPr="00105389">
        <w:rPr>
          <w:rFonts w:ascii="Arial"/>
          <w:i/>
          <w:sz w:val="20"/>
          <w:lang w:val="da-DK"/>
        </w:rPr>
        <w:t>Humant Immundefekt Virus (HIV)</w:t>
      </w:r>
    </w:p>
    <w:p w14:paraId="087598E2" w14:textId="77777777" w:rsidR="00F74E14" w:rsidRPr="00105389" w:rsidRDefault="001C086A">
      <w:pPr>
        <w:tabs>
          <w:tab w:val="left" w:pos="5482"/>
          <w:tab w:val="left" w:pos="6788"/>
          <w:tab w:val="left" w:pos="8092"/>
        </w:tabs>
        <w:spacing w:before="1"/>
        <w:ind w:left="266"/>
        <w:rPr>
          <w:rFonts w:ascii="Symbol" w:hAnsi="Symbol"/>
          <w:sz w:val="20"/>
          <w:lang w:val="da-DK"/>
        </w:rPr>
      </w:pPr>
      <w:r w:rsidRPr="00105389">
        <w:rPr>
          <w:rFonts w:ascii="Arial" w:hAnsi="Arial"/>
          <w:sz w:val="20"/>
          <w:lang w:val="da-DK"/>
        </w:rPr>
        <w:t>HIV-test</w:t>
      </w:r>
      <w:r w:rsidRPr="00105389">
        <w:rPr>
          <w:rFonts w:ascii="Arial" w:hAnsi="Arial"/>
          <w:spacing w:val="-4"/>
          <w:sz w:val="20"/>
          <w:lang w:val="da-DK"/>
        </w:rPr>
        <w:t xml:space="preserve"> </w:t>
      </w:r>
      <w:r w:rsidRPr="00105389">
        <w:rPr>
          <w:rFonts w:ascii="Arial" w:hAnsi="Arial"/>
          <w:sz w:val="20"/>
          <w:lang w:val="da-DK"/>
        </w:rPr>
        <w:t>foretaget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 xml:space="preserve">nej </w:t>
      </w:r>
      <w:r>
        <w:rPr>
          <w:rFonts w:ascii="Symbol" w:hAnsi="Symbol"/>
          <w:sz w:val="20"/>
        </w:rPr>
        <w:t></w:t>
      </w:r>
      <w:r w:rsidRPr="00105389">
        <w:rPr>
          <w:sz w:val="20"/>
          <w:lang w:val="da-DK"/>
        </w:rPr>
        <w:tab/>
      </w:r>
      <w:r w:rsidRPr="00105389">
        <w:rPr>
          <w:rFonts w:ascii="Arial" w:hAnsi="Arial"/>
          <w:sz w:val="20"/>
          <w:lang w:val="da-DK"/>
        </w:rPr>
        <w:t xml:space="preserve">ej relevant </w:t>
      </w:r>
      <w:r>
        <w:rPr>
          <w:rFonts w:ascii="Symbol" w:hAnsi="Symbol"/>
          <w:sz w:val="20"/>
        </w:rPr>
        <w:t></w:t>
      </w:r>
    </w:p>
    <w:p w14:paraId="2276C2D6" w14:textId="77777777" w:rsidR="00F74E14" w:rsidRPr="00105389" w:rsidRDefault="00F74E14">
      <w:pPr>
        <w:pStyle w:val="Brdtekst"/>
        <w:spacing w:before="9"/>
        <w:rPr>
          <w:rFonts w:ascii="Symbol" w:hAnsi="Symbol"/>
          <w:sz w:val="18"/>
          <w:lang w:val="da-DK"/>
        </w:rPr>
      </w:pPr>
    </w:p>
    <w:p w14:paraId="411D5014" w14:textId="77777777" w:rsidR="00F74E14" w:rsidRPr="00105389" w:rsidRDefault="001C086A">
      <w:pPr>
        <w:ind w:left="266"/>
        <w:rPr>
          <w:rFonts w:ascii="Arial" w:hAnsi="Arial"/>
          <w:i/>
          <w:sz w:val="20"/>
          <w:lang w:val="da-DK"/>
        </w:rPr>
      </w:pPr>
      <w:r w:rsidRPr="00105389">
        <w:rPr>
          <w:rFonts w:ascii="Arial" w:hAnsi="Arial"/>
          <w:i/>
          <w:sz w:val="20"/>
          <w:lang w:val="da-DK"/>
        </w:rPr>
        <w:t>Vaccination i øvrigt</w:t>
      </w:r>
    </w:p>
    <w:p w14:paraId="1C95DBEB" w14:textId="77777777" w:rsidR="00F74E14" w:rsidRPr="00105389" w:rsidRDefault="001C086A">
      <w:pPr>
        <w:tabs>
          <w:tab w:val="left" w:pos="5482"/>
          <w:tab w:val="left" w:pos="6788"/>
        </w:tabs>
        <w:spacing w:before="1"/>
        <w:ind w:left="266"/>
        <w:rPr>
          <w:rFonts w:ascii="Symbol" w:hAnsi="Symbol"/>
          <w:sz w:val="20"/>
          <w:lang w:val="da-DK"/>
        </w:rPr>
      </w:pPr>
      <w:proofErr w:type="spellStart"/>
      <w:r w:rsidRPr="00105389">
        <w:rPr>
          <w:rFonts w:ascii="Arial" w:hAnsi="Arial"/>
          <w:sz w:val="20"/>
          <w:lang w:val="da-DK"/>
        </w:rPr>
        <w:t>Pneumokokvaccination</w:t>
      </w:r>
      <w:proofErr w:type="spellEnd"/>
      <w:r w:rsidRPr="00105389">
        <w:rPr>
          <w:rFonts w:ascii="Arial" w:hAnsi="Arial"/>
          <w:spacing w:val="-3"/>
          <w:sz w:val="20"/>
          <w:lang w:val="da-DK"/>
        </w:rPr>
        <w:t xml:space="preserve"> </w:t>
      </w:r>
      <w:r w:rsidRPr="00105389">
        <w:rPr>
          <w:rFonts w:ascii="Arial" w:hAnsi="Arial"/>
          <w:sz w:val="20"/>
          <w:lang w:val="da-DK"/>
        </w:rPr>
        <w:t>anbefales</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1"/>
          <w:sz w:val="20"/>
          <w:lang w:val="da-DK"/>
        </w:rPr>
        <w:t xml:space="preserve"> </w:t>
      </w:r>
      <w:r>
        <w:rPr>
          <w:rFonts w:ascii="Symbol" w:hAnsi="Symbol"/>
          <w:sz w:val="20"/>
        </w:rPr>
        <w:t></w:t>
      </w:r>
    </w:p>
    <w:p w14:paraId="3C22993E" w14:textId="77777777" w:rsidR="00F74E14" w:rsidRPr="00105389" w:rsidRDefault="001C086A">
      <w:pPr>
        <w:tabs>
          <w:tab w:val="left" w:pos="5482"/>
          <w:tab w:val="left" w:pos="6788"/>
          <w:tab w:val="left" w:pos="8092"/>
        </w:tabs>
        <w:spacing w:before="1"/>
        <w:ind w:left="266"/>
        <w:rPr>
          <w:rFonts w:ascii="Symbol" w:hAnsi="Symbol"/>
          <w:sz w:val="20"/>
          <w:lang w:val="da-DK"/>
        </w:rPr>
      </w:pPr>
      <w:proofErr w:type="spellStart"/>
      <w:r w:rsidRPr="00105389">
        <w:rPr>
          <w:rFonts w:ascii="Arial" w:hAnsi="Arial"/>
          <w:sz w:val="20"/>
          <w:lang w:val="da-DK"/>
        </w:rPr>
        <w:t>Re-vaccination</w:t>
      </w:r>
      <w:proofErr w:type="spellEnd"/>
      <w:r w:rsidRPr="00105389">
        <w:rPr>
          <w:rFonts w:ascii="Arial" w:hAnsi="Arial"/>
          <w:sz w:val="20"/>
          <w:lang w:val="da-DK"/>
        </w:rPr>
        <w:t xml:space="preserve"> hvert 3-5</w:t>
      </w:r>
      <w:r w:rsidRPr="00105389">
        <w:rPr>
          <w:rFonts w:ascii="Arial" w:hAnsi="Arial"/>
          <w:spacing w:val="-6"/>
          <w:sz w:val="20"/>
          <w:lang w:val="da-DK"/>
        </w:rPr>
        <w:t xml:space="preserve"> </w:t>
      </w:r>
      <w:r w:rsidRPr="00105389">
        <w:rPr>
          <w:rFonts w:ascii="Arial" w:hAnsi="Arial"/>
          <w:sz w:val="20"/>
          <w:lang w:val="da-DK"/>
        </w:rPr>
        <w:t>år anbefalet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 xml:space="preserve">nej </w:t>
      </w:r>
      <w:r>
        <w:rPr>
          <w:rFonts w:ascii="Symbol" w:hAnsi="Symbol"/>
          <w:sz w:val="20"/>
        </w:rPr>
        <w:t></w:t>
      </w:r>
      <w:r w:rsidRPr="00105389">
        <w:rPr>
          <w:sz w:val="20"/>
          <w:lang w:val="da-DK"/>
        </w:rPr>
        <w:tab/>
      </w:r>
      <w:r w:rsidRPr="00105389">
        <w:rPr>
          <w:rFonts w:ascii="Arial" w:hAnsi="Arial"/>
          <w:sz w:val="20"/>
          <w:lang w:val="da-DK"/>
        </w:rPr>
        <w:t>ej relevant</w:t>
      </w:r>
      <w:r w:rsidRPr="00105389">
        <w:rPr>
          <w:rFonts w:ascii="Arial" w:hAnsi="Arial"/>
          <w:spacing w:val="-1"/>
          <w:sz w:val="20"/>
          <w:lang w:val="da-DK"/>
        </w:rPr>
        <w:t xml:space="preserve"> </w:t>
      </w:r>
      <w:r>
        <w:rPr>
          <w:rFonts w:ascii="Symbol" w:hAnsi="Symbol"/>
          <w:sz w:val="20"/>
        </w:rPr>
        <w:t></w:t>
      </w:r>
    </w:p>
    <w:p w14:paraId="165DB552" w14:textId="77777777" w:rsidR="00F74E14" w:rsidRPr="00105389" w:rsidRDefault="00F74E14">
      <w:pPr>
        <w:pStyle w:val="Brdtekst"/>
        <w:spacing w:before="9"/>
        <w:rPr>
          <w:rFonts w:ascii="Symbol" w:hAnsi="Symbol"/>
          <w:sz w:val="18"/>
          <w:lang w:val="da-DK"/>
        </w:rPr>
      </w:pPr>
    </w:p>
    <w:p w14:paraId="2401BD71" w14:textId="77777777" w:rsidR="00F74E14" w:rsidRPr="00105389" w:rsidRDefault="001C086A">
      <w:pPr>
        <w:tabs>
          <w:tab w:val="left" w:pos="5482"/>
          <w:tab w:val="left" w:pos="6788"/>
        </w:tabs>
        <w:spacing w:line="245" w:lineRule="exact"/>
        <w:ind w:left="266"/>
        <w:rPr>
          <w:rFonts w:ascii="Symbol" w:hAnsi="Symbol"/>
          <w:sz w:val="20"/>
          <w:lang w:val="da-DK"/>
        </w:rPr>
      </w:pPr>
      <w:r w:rsidRPr="00105389">
        <w:rPr>
          <w:rFonts w:ascii="Arial" w:hAnsi="Arial"/>
          <w:sz w:val="20"/>
          <w:lang w:val="da-DK"/>
        </w:rPr>
        <w:t>Årlig</w:t>
      </w:r>
      <w:r w:rsidRPr="00105389">
        <w:rPr>
          <w:rFonts w:ascii="Arial" w:hAnsi="Arial"/>
          <w:spacing w:val="-5"/>
          <w:sz w:val="20"/>
          <w:lang w:val="da-DK"/>
        </w:rPr>
        <w:t xml:space="preserve"> </w:t>
      </w:r>
      <w:r w:rsidRPr="00105389">
        <w:rPr>
          <w:rFonts w:ascii="Arial" w:hAnsi="Arial"/>
          <w:sz w:val="20"/>
          <w:lang w:val="da-DK"/>
        </w:rPr>
        <w:t>influenzavaccination</w:t>
      </w:r>
      <w:r w:rsidRPr="00105389">
        <w:rPr>
          <w:rFonts w:ascii="Arial" w:hAnsi="Arial"/>
          <w:spacing w:val="-2"/>
          <w:sz w:val="20"/>
          <w:lang w:val="da-DK"/>
        </w:rPr>
        <w:t xml:space="preserve"> </w:t>
      </w:r>
      <w:r w:rsidRPr="00105389">
        <w:rPr>
          <w:rFonts w:ascii="Arial" w:hAnsi="Arial"/>
          <w:sz w:val="20"/>
          <w:lang w:val="da-DK"/>
        </w:rPr>
        <w:t>anbefalet</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p w14:paraId="71CD69CB" w14:textId="77777777" w:rsidR="00F74E14" w:rsidRPr="00105389" w:rsidRDefault="001C086A">
      <w:pPr>
        <w:tabs>
          <w:tab w:val="left" w:pos="5482"/>
          <w:tab w:val="left" w:pos="6788"/>
        </w:tabs>
        <w:ind w:left="266"/>
        <w:rPr>
          <w:rFonts w:ascii="Symbol" w:hAnsi="Symbol"/>
          <w:sz w:val="20"/>
          <w:lang w:val="da-DK"/>
        </w:rPr>
      </w:pPr>
      <w:r w:rsidRPr="00105389">
        <w:rPr>
          <w:rFonts w:ascii="Arial" w:hAnsi="Arial"/>
          <w:sz w:val="20"/>
          <w:lang w:val="da-DK"/>
        </w:rPr>
        <w:t>Modtaget levende vaccine indenfor</w:t>
      </w:r>
      <w:r w:rsidRPr="00105389">
        <w:rPr>
          <w:rFonts w:ascii="Arial" w:hAnsi="Arial"/>
          <w:spacing w:val="-8"/>
          <w:sz w:val="20"/>
          <w:lang w:val="da-DK"/>
        </w:rPr>
        <w:t xml:space="preserve"> </w:t>
      </w:r>
      <w:r w:rsidRPr="00105389">
        <w:rPr>
          <w:rFonts w:ascii="Arial" w:hAnsi="Arial"/>
          <w:sz w:val="20"/>
          <w:lang w:val="da-DK"/>
        </w:rPr>
        <w:t>3</w:t>
      </w:r>
      <w:r w:rsidRPr="00105389">
        <w:rPr>
          <w:rFonts w:ascii="Arial" w:hAnsi="Arial"/>
          <w:spacing w:val="1"/>
          <w:sz w:val="20"/>
          <w:lang w:val="da-DK"/>
        </w:rPr>
        <w:t xml:space="preserve"> </w:t>
      </w:r>
      <w:r w:rsidRPr="00105389">
        <w:rPr>
          <w:rFonts w:ascii="Arial" w:hAnsi="Arial"/>
          <w:sz w:val="20"/>
          <w:lang w:val="da-DK"/>
        </w:rPr>
        <w:t>måneder</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p w14:paraId="70609777" w14:textId="77777777" w:rsidR="00F74E14" w:rsidRPr="00105389" w:rsidRDefault="00F74E14">
      <w:pPr>
        <w:pStyle w:val="Brdtekst"/>
        <w:spacing w:before="6"/>
        <w:rPr>
          <w:rFonts w:ascii="Symbol" w:hAnsi="Symbol"/>
          <w:sz w:val="18"/>
          <w:lang w:val="da-DK"/>
        </w:rPr>
      </w:pPr>
    </w:p>
    <w:p w14:paraId="449FA0D9" w14:textId="77777777" w:rsidR="00F74E14" w:rsidRPr="00105389" w:rsidRDefault="001C086A">
      <w:pPr>
        <w:tabs>
          <w:tab w:val="left" w:pos="8542"/>
        </w:tabs>
        <w:spacing w:before="1"/>
        <w:ind w:left="5483"/>
        <w:rPr>
          <w:rFonts w:ascii="Arial" w:hAnsi="Arial"/>
          <w:sz w:val="20"/>
          <w:lang w:val="da-DK"/>
        </w:rPr>
      </w:pPr>
      <w:r w:rsidRPr="00105389">
        <w:rPr>
          <w:rFonts w:ascii="Arial" w:hAnsi="Arial"/>
          <w:sz w:val="20"/>
          <w:lang w:val="da-DK"/>
        </w:rPr>
        <w:t>Hvis ja, hvilken og</w:t>
      </w:r>
      <w:r w:rsidRPr="00105389">
        <w:rPr>
          <w:rFonts w:ascii="Arial" w:hAnsi="Arial"/>
          <w:spacing w:val="-8"/>
          <w:sz w:val="20"/>
          <w:lang w:val="da-DK"/>
        </w:rPr>
        <w:t xml:space="preserve"> </w:t>
      </w:r>
      <w:r w:rsidRPr="00105389">
        <w:rPr>
          <w:rFonts w:ascii="Arial" w:hAnsi="Arial"/>
          <w:sz w:val="20"/>
          <w:lang w:val="da-DK"/>
        </w:rPr>
        <w:t>hvornår</w:t>
      </w:r>
      <w:r w:rsidRPr="00105389">
        <w:rPr>
          <w:rFonts w:ascii="Arial" w:hAnsi="Arial"/>
          <w:w w:val="99"/>
          <w:sz w:val="20"/>
          <w:u w:val="single"/>
          <w:lang w:val="da-DK"/>
        </w:rPr>
        <w:t xml:space="preserve"> </w:t>
      </w:r>
      <w:r w:rsidRPr="00105389">
        <w:rPr>
          <w:rFonts w:ascii="Arial" w:hAnsi="Arial"/>
          <w:sz w:val="20"/>
          <w:u w:val="single"/>
          <w:lang w:val="da-DK"/>
        </w:rPr>
        <w:tab/>
      </w:r>
    </w:p>
    <w:p w14:paraId="3AEA7EF9" w14:textId="77777777" w:rsidR="00F74E14" w:rsidRPr="00105389" w:rsidRDefault="00F74E14">
      <w:pPr>
        <w:pStyle w:val="Brdtekst"/>
        <w:spacing w:before="1"/>
        <w:rPr>
          <w:rFonts w:ascii="Arial"/>
          <w:sz w:val="20"/>
          <w:lang w:val="da-DK"/>
        </w:rPr>
      </w:pPr>
    </w:p>
    <w:p w14:paraId="5115DDA3" w14:textId="77777777" w:rsidR="00F74E14" w:rsidRPr="00105389" w:rsidRDefault="001C086A">
      <w:pPr>
        <w:tabs>
          <w:tab w:val="left" w:pos="5482"/>
          <w:tab w:val="left" w:pos="6788"/>
        </w:tabs>
        <w:ind w:left="266"/>
        <w:rPr>
          <w:rFonts w:ascii="Symbol" w:hAnsi="Symbol"/>
          <w:sz w:val="20"/>
          <w:lang w:val="da-DK"/>
        </w:rPr>
      </w:pPr>
      <w:r w:rsidRPr="00105389">
        <w:rPr>
          <w:rFonts w:ascii="Arial" w:hAnsi="Arial"/>
          <w:sz w:val="20"/>
          <w:lang w:val="da-DK"/>
        </w:rPr>
        <w:t>Malign sygdom indenfor</w:t>
      </w:r>
      <w:r w:rsidRPr="00105389">
        <w:rPr>
          <w:rFonts w:ascii="Arial" w:hAnsi="Arial"/>
          <w:spacing w:val="-5"/>
          <w:sz w:val="20"/>
          <w:lang w:val="da-DK"/>
        </w:rPr>
        <w:t xml:space="preserve"> </w:t>
      </w:r>
      <w:r w:rsidRPr="00105389">
        <w:rPr>
          <w:rFonts w:ascii="Arial" w:hAnsi="Arial"/>
          <w:sz w:val="20"/>
          <w:lang w:val="da-DK"/>
        </w:rPr>
        <w:t>5</w:t>
      </w:r>
      <w:r w:rsidRPr="00105389">
        <w:rPr>
          <w:rFonts w:ascii="Arial" w:hAnsi="Arial"/>
          <w:spacing w:val="-3"/>
          <w:sz w:val="20"/>
          <w:lang w:val="da-DK"/>
        </w:rPr>
        <w:t xml:space="preserve"> </w:t>
      </w:r>
      <w:r w:rsidRPr="00105389">
        <w:rPr>
          <w:rFonts w:ascii="Arial" w:hAnsi="Arial"/>
          <w:sz w:val="20"/>
          <w:lang w:val="da-DK"/>
        </w:rPr>
        <w:t>år</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p w14:paraId="4EE4A57C" w14:textId="77777777" w:rsidR="00F74E14" w:rsidRPr="00105389" w:rsidRDefault="00F74E14">
      <w:pPr>
        <w:pStyle w:val="Brdtekst"/>
        <w:spacing w:before="10"/>
        <w:rPr>
          <w:rFonts w:ascii="Symbol" w:hAnsi="Symbol"/>
          <w:sz w:val="18"/>
          <w:lang w:val="da-DK"/>
        </w:rPr>
      </w:pPr>
    </w:p>
    <w:p w14:paraId="34AD55C6" w14:textId="77777777" w:rsidR="00F74E14" w:rsidRPr="00105389" w:rsidRDefault="001C086A">
      <w:pPr>
        <w:tabs>
          <w:tab w:val="left" w:pos="5482"/>
          <w:tab w:val="left" w:pos="6788"/>
        </w:tabs>
        <w:ind w:left="266"/>
        <w:rPr>
          <w:rFonts w:ascii="Symbol" w:hAnsi="Symbol"/>
          <w:sz w:val="20"/>
          <w:lang w:val="da-DK"/>
        </w:rPr>
      </w:pPr>
      <w:r w:rsidRPr="00105389">
        <w:rPr>
          <w:rFonts w:ascii="Arial" w:hAnsi="Arial"/>
          <w:sz w:val="20"/>
          <w:lang w:val="da-DK"/>
        </w:rPr>
        <w:t>Har patienten tegn</w:t>
      </w:r>
      <w:r w:rsidRPr="00105389">
        <w:rPr>
          <w:rFonts w:ascii="Arial" w:hAnsi="Arial"/>
          <w:spacing w:val="-6"/>
          <w:sz w:val="20"/>
          <w:lang w:val="da-DK"/>
        </w:rPr>
        <w:t xml:space="preserve"> </w:t>
      </w:r>
      <w:r w:rsidRPr="00105389">
        <w:rPr>
          <w:rFonts w:ascii="Arial" w:hAnsi="Arial"/>
          <w:sz w:val="20"/>
          <w:lang w:val="da-DK"/>
        </w:rPr>
        <w:t>på</w:t>
      </w:r>
      <w:r w:rsidRPr="00105389">
        <w:rPr>
          <w:rFonts w:ascii="Arial" w:hAnsi="Arial"/>
          <w:spacing w:val="-3"/>
          <w:sz w:val="20"/>
          <w:lang w:val="da-DK"/>
        </w:rPr>
        <w:t xml:space="preserve"> </w:t>
      </w:r>
      <w:r w:rsidRPr="00105389">
        <w:rPr>
          <w:rFonts w:ascii="Arial" w:hAnsi="Arial"/>
          <w:sz w:val="20"/>
          <w:lang w:val="da-DK"/>
        </w:rPr>
        <w:t>hjerteinsufficiens</w:t>
      </w:r>
      <w:r w:rsidRPr="00105389">
        <w:rPr>
          <w:rFonts w:ascii="Arial" w:hAnsi="Arial"/>
          <w:sz w:val="20"/>
          <w:lang w:val="da-DK"/>
        </w:rPr>
        <w:tab/>
        <w:t>ja</w:t>
      </w:r>
      <w:r w:rsidRPr="00105389">
        <w:rPr>
          <w:rFonts w:ascii="Arial" w:hAnsi="Arial"/>
          <w:spacing w:val="-1"/>
          <w:sz w:val="20"/>
          <w:lang w:val="da-DK"/>
        </w:rPr>
        <w:t xml:space="preserve"> </w:t>
      </w:r>
      <w:r>
        <w:rPr>
          <w:rFonts w:ascii="Symbol" w:hAnsi="Symbol"/>
          <w:sz w:val="20"/>
        </w:rPr>
        <w:t></w:t>
      </w:r>
      <w:r w:rsidRPr="00105389">
        <w:rPr>
          <w:sz w:val="20"/>
          <w:lang w:val="da-DK"/>
        </w:rPr>
        <w:tab/>
      </w:r>
      <w:r w:rsidRPr="00105389">
        <w:rPr>
          <w:rFonts w:ascii="Arial" w:hAnsi="Arial"/>
          <w:sz w:val="20"/>
          <w:lang w:val="da-DK"/>
        </w:rPr>
        <w:t>nej</w:t>
      </w:r>
      <w:r w:rsidRPr="00105389">
        <w:rPr>
          <w:rFonts w:ascii="Arial" w:hAnsi="Arial"/>
          <w:spacing w:val="-2"/>
          <w:sz w:val="20"/>
          <w:lang w:val="da-DK"/>
        </w:rPr>
        <w:t xml:space="preserve"> </w:t>
      </w:r>
      <w:r>
        <w:rPr>
          <w:rFonts w:ascii="Symbol" w:hAnsi="Symbol"/>
          <w:sz w:val="20"/>
        </w:rPr>
        <w:t></w:t>
      </w:r>
    </w:p>
    <w:sectPr w:rsidR="00F74E14" w:rsidRPr="00105389">
      <w:type w:val="continuous"/>
      <w:pgSz w:w="12240" w:h="15840"/>
      <w:pgMar w:top="1500" w:right="1020" w:bottom="0" w:left="1020" w:header="720" w:footer="72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2B63D7" w16cex:dateUtc="2020-10-09T20: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B0C080" w14:textId="77777777" w:rsidR="0009298E" w:rsidRDefault="0009298E">
      <w:r>
        <w:separator/>
      </w:r>
    </w:p>
  </w:endnote>
  <w:endnote w:type="continuationSeparator" w:id="0">
    <w:p w14:paraId="61B399FB" w14:textId="77777777" w:rsidR="0009298E" w:rsidRDefault="000929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altName w:val="Tahoma Bold"/>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2FB289" w14:textId="77777777" w:rsidR="00C10C30" w:rsidRDefault="00C10C3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81B9B" w14:textId="77777777" w:rsidR="00F74E14" w:rsidRDefault="009E455F">
    <w:pPr>
      <w:pStyle w:val="Brdtekst"/>
      <w:spacing w:line="14" w:lineRule="auto"/>
      <w:rPr>
        <w:sz w:val="2"/>
      </w:rPr>
    </w:pPr>
    <w:r>
      <w:rPr>
        <w:noProof/>
        <w:lang w:val="da-DK" w:eastAsia="da-DK"/>
      </w:rPr>
      <mc:AlternateContent>
        <mc:Choice Requires="wps">
          <w:drawing>
            <wp:anchor distT="0" distB="0" distL="114300" distR="114300" simplePos="0" relativeHeight="251657728" behindDoc="1" locked="0" layoutInCell="1" allowOverlap="1" wp14:anchorId="6E2B11EE" wp14:editId="055BD4E5">
              <wp:simplePos x="0" y="0"/>
              <wp:positionH relativeFrom="page">
                <wp:posOffset>6888480</wp:posOffset>
              </wp:positionH>
              <wp:positionV relativeFrom="page">
                <wp:posOffset>9311005</wp:posOffset>
              </wp:positionV>
              <wp:extent cx="20447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447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30B5E" w14:textId="571A789F" w:rsidR="00F74E14" w:rsidRDefault="001C086A">
                          <w:pPr>
                            <w:spacing w:before="10"/>
                            <w:ind w:left="60"/>
                            <w:rPr>
                              <w:sz w:val="20"/>
                            </w:rPr>
                          </w:pPr>
                          <w:r>
                            <w:fldChar w:fldCharType="begin"/>
                          </w:r>
                          <w:r>
                            <w:rPr>
                              <w:sz w:val="20"/>
                            </w:rPr>
                            <w:instrText xml:space="preserve"> PAGE </w:instrText>
                          </w:r>
                          <w:r>
                            <w:fldChar w:fldCharType="separate"/>
                          </w:r>
                          <w:r w:rsidR="00E71709">
                            <w:rPr>
                              <w:noProof/>
                              <w:sz w:val="20"/>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2B11EE" id="_x0000_t202" coordsize="21600,21600" o:spt="202" path="m,l,21600r21600,l21600,xe">
              <v:stroke joinstyle="miter"/>
              <v:path gradientshapeok="t" o:connecttype="rect"/>
            </v:shapetype>
            <v:shape id="Text Box 1" o:spid="_x0000_s1026" type="#_x0000_t202" style="position:absolute;margin-left:542.4pt;margin-top:733.15pt;width:16.1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SIr5gEAALUDAAAOAAAAZHJzL2Uyb0RvYy54bWysU9tu2zAMfR+wfxD0vjjJehmMOEXXosOA&#10;bh3Q7gNkWbKFWaJGKbGzrx8lx1m3vhV7EWiSOjo8PN5cjbZne4XBgKv4arHkTDkJjXFtxb8/3b37&#10;wFmIwjWiB6cqflCBX23fvtkMvlRr6KBvFDICcaEcfMW7GH1ZFEF2yoqwAK8cFTWgFZE+sS0aFAOh&#10;275YL5cXxQDYeASpQqDs7VTk24yvtZLxQeugIusrTtxiPjGfdTqL7UaULQrfGXmkIV7Bwgrj6NET&#10;1K2Igu3QvICyRiIE0HEhwRagtZEqz0DTrJb/TPPYCa/yLCRO8CeZwv+DlV/335CZhnbHmROWVvSk&#10;xsg+wshWSZ3Bh5KaHj21xZHSqTNNGvw9yB+BObjphGvVNSIMnRINscs3i2dXJ5yQQOrhCzT0jNhF&#10;yECjRpsASQxG6LSlw2kziYqk5Hp5dnZJFUml1cX55fvzxK0Q5XzZY4ifFFiWgoojLT6Di/19iFPr&#10;3JLecnBn+j4vv3d/JQgzZTL5xHdiHsd6PIpRQ3OgMRAmL5H3KegAf3E2kI8qHn7uBCrO+s+OpEim&#10;mwOcg3oOhJN0teKRsym8iZM5dx5N2xHyJLaDa5JLmzxK0nViceRJ3shiHH2czPf8O3f9+du2vwEA&#10;AP//AwBQSwMEFAAGAAgAAAAhAMxL3k/iAAAADwEAAA8AAABkcnMvZG93bnJldi54bWxMj8FOwzAQ&#10;RO9I/QdrK3GjTkoU2hCnqhCckBBpOHB0YjexGq9D7Lbh79mc6G1ndzT7Jt9NtmcXPXrjUEC8ioBp&#10;bJwy2Ar4qt4eNsB8kKhk71AL+NUedsXiLpeZclcs9eUQWkYh6DMpoAthyDj3Taet9Cs3aKTb0Y1W&#10;BpJjy9UorxRue76OopRbaZA+dHLQL51uToezFbD/xvLV/HzUn+WxNFW1jfA9PQlxv5z2z8CCnsK/&#10;GWZ8QoeCmGp3RuVZTzraJMQeaErS9BHY7InjJypYz7vtOgFe5Py2R/EHAAD//wMAUEsBAi0AFAAG&#10;AAgAAAAhALaDOJL+AAAA4QEAABMAAAAAAAAAAAAAAAAAAAAAAFtDb250ZW50X1R5cGVzXS54bWxQ&#10;SwECLQAUAAYACAAAACEAOP0h/9YAAACUAQAACwAAAAAAAAAAAAAAAAAvAQAAX3JlbHMvLnJlbHNQ&#10;SwECLQAUAAYACAAAACEAZrkiK+YBAAC1AwAADgAAAAAAAAAAAAAAAAAuAgAAZHJzL2Uyb0RvYy54&#10;bWxQSwECLQAUAAYACAAAACEAzEveT+IAAAAPAQAADwAAAAAAAAAAAAAAAABABAAAZHJzL2Rvd25y&#10;ZXYueG1sUEsFBgAAAAAEAAQA8wAAAE8FAAAAAA==&#10;" filled="f" stroked="f">
              <v:textbox inset="0,0,0,0">
                <w:txbxContent>
                  <w:p w14:paraId="2F030B5E" w14:textId="571A789F" w:rsidR="00F74E14" w:rsidRDefault="001C086A">
                    <w:pPr>
                      <w:spacing w:before="10"/>
                      <w:ind w:left="60"/>
                      <w:rPr>
                        <w:sz w:val="20"/>
                      </w:rPr>
                    </w:pPr>
                    <w:r>
                      <w:fldChar w:fldCharType="begin"/>
                    </w:r>
                    <w:r>
                      <w:rPr>
                        <w:sz w:val="20"/>
                      </w:rPr>
                      <w:instrText xml:space="preserve"> PAGE </w:instrText>
                    </w:r>
                    <w:r>
                      <w:fldChar w:fldCharType="separate"/>
                    </w:r>
                    <w:r w:rsidR="00E71709">
                      <w:rPr>
                        <w:noProof/>
                        <w:sz w:val="20"/>
                      </w:rPr>
                      <w:t>2</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C9689" w14:textId="77777777" w:rsidR="00C10C30" w:rsidRDefault="00C10C30">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506C26" w14:textId="77777777" w:rsidR="0009298E" w:rsidRDefault="0009298E">
      <w:r>
        <w:separator/>
      </w:r>
    </w:p>
  </w:footnote>
  <w:footnote w:type="continuationSeparator" w:id="0">
    <w:p w14:paraId="6B89DDE9" w14:textId="77777777" w:rsidR="0009298E" w:rsidRDefault="000929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330A14" w14:textId="77777777" w:rsidR="00C10C30" w:rsidRDefault="00C10C30">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E1344" w14:textId="77777777" w:rsidR="00C10C30" w:rsidRDefault="00C10C30">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1F07F7" w14:textId="77777777" w:rsidR="00C10C30" w:rsidRDefault="00C10C3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294715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25C48"/>
    <w:multiLevelType w:val="hybridMultilevel"/>
    <w:tmpl w:val="06E263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A116364"/>
    <w:multiLevelType w:val="hybridMultilevel"/>
    <w:tmpl w:val="612C41A2"/>
    <w:lvl w:ilvl="0" w:tplc="04060001">
      <w:start w:val="1"/>
      <w:numFmt w:val="bullet"/>
      <w:lvlText w:val=""/>
      <w:lvlJc w:val="left"/>
      <w:pPr>
        <w:ind w:left="712" w:hanging="360"/>
      </w:pPr>
      <w:rPr>
        <w:rFonts w:ascii="Symbol" w:hAnsi="Symbol" w:hint="default"/>
      </w:rPr>
    </w:lvl>
    <w:lvl w:ilvl="1" w:tplc="04060003" w:tentative="1">
      <w:start w:val="1"/>
      <w:numFmt w:val="bullet"/>
      <w:lvlText w:val="o"/>
      <w:lvlJc w:val="left"/>
      <w:pPr>
        <w:ind w:left="1432" w:hanging="360"/>
      </w:pPr>
      <w:rPr>
        <w:rFonts w:ascii="Courier New" w:hAnsi="Courier New" w:cs="Courier New" w:hint="default"/>
      </w:rPr>
    </w:lvl>
    <w:lvl w:ilvl="2" w:tplc="04060005" w:tentative="1">
      <w:start w:val="1"/>
      <w:numFmt w:val="bullet"/>
      <w:lvlText w:val=""/>
      <w:lvlJc w:val="left"/>
      <w:pPr>
        <w:ind w:left="2152" w:hanging="360"/>
      </w:pPr>
      <w:rPr>
        <w:rFonts w:ascii="Wingdings" w:hAnsi="Wingdings" w:hint="default"/>
      </w:rPr>
    </w:lvl>
    <w:lvl w:ilvl="3" w:tplc="04060001" w:tentative="1">
      <w:start w:val="1"/>
      <w:numFmt w:val="bullet"/>
      <w:lvlText w:val=""/>
      <w:lvlJc w:val="left"/>
      <w:pPr>
        <w:ind w:left="2872" w:hanging="360"/>
      </w:pPr>
      <w:rPr>
        <w:rFonts w:ascii="Symbol" w:hAnsi="Symbol" w:hint="default"/>
      </w:rPr>
    </w:lvl>
    <w:lvl w:ilvl="4" w:tplc="04060003" w:tentative="1">
      <w:start w:val="1"/>
      <w:numFmt w:val="bullet"/>
      <w:lvlText w:val="o"/>
      <w:lvlJc w:val="left"/>
      <w:pPr>
        <w:ind w:left="3592" w:hanging="360"/>
      </w:pPr>
      <w:rPr>
        <w:rFonts w:ascii="Courier New" w:hAnsi="Courier New" w:cs="Courier New" w:hint="default"/>
      </w:rPr>
    </w:lvl>
    <w:lvl w:ilvl="5" w:tplc="04060005" w:tentative="1">
      <w:start w:val="1"/>
      <w:numFmt w:val="bullet"/>
      <w:lvlText w:val=""/>
      <w:lvlJc w:val="left"/>
      <w:pPr>
        <w:ind w:left="4312" w:hanging="360"/>
      </w:pPr>
      <w:rPr>
        <w:rFonts w:ascii="Wingdings" w:hAnsi="Wingdings" w:hint="default"/>
      </w:rPr>
    </w:lvl>
    <w:lvl w:ilvl="6" w:tplc="04060001" w:tentative="1">
      <w:start w:val="1"/>
      <w:numFmt w:val="bullet"/>
      <w:lvlText w:val=""/>
      <w:lvlJc w:val="left"/>
      <w:pPr>
        <w:ind w:left="5032" w:hanging="360"/>
      </w:pPr>
      <w:rPr>
        <w:rFonts w:ascii="Symbol" w:hAnsi="Symbol" w:hint="default"/>
      </w:rPr>
    </w:lvl>
    <w:lvl w:ilvl="7" w:tplc="04060003" w:tentative="1">
      <w:start w:val="1"/>
      <w:numFmt w:val="bullet"/>
      <w:lvlText w:val="o"/>
      <w:lvlJc w:val="left"/>
      <w:pPr>
        <w:ind w:left="5752" w:hanging="360"/>
      </w:pPr>
      <w:rPr>
        <w:rFonts w:ascii="Courier New" w:hAnsi="Courier New" w:cs="Courier New" w:hint="default"/>
      </w:rPr>
    </w:lvl>
    <w:lvl w:ilvl="8" w:tplc="04060005" w:tentative="1">
      <w:start w:val="1"/>
      <w:numFmt w:val="bullet"/>
      <w:lvlText w:val=""/>
      <w:lvlJc w:val="left"/>
      <w:pPr>
        <w:ind w:left="6472" w:hanging="360"/>
      </w:pPr>
      <w:rPr>
        <w:rFonts w:ascii="Wingdings" w:hAnsi="Wingdings" w:hint="default"/>
      </w:rPr>
    </w:lvl>
  </w:abstractNum>
  <w:abstractNum w:abstractNumId="3" w15:restartNumberingAfterBreak="0">
    <w:nsid w:val="264DE37E"/>
    <w:multiLevelType w:val="hybridMultilevel"/>
    <w:tmpl w:val="0AE9718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30600B01"/>
    <w:multiLevelType w:val="hybridMultilevel"/>
    <w:tmpl w:val="BC0219EE"/>
    <w:lvl w:ilvl="0" w:tplc="37D441B2">
      <w:start w:val="1"/>
      <w:numFmt w:val="decimal"/>
      <w:lvlText w:val="%1."/>
      <w:lvlJc w:val="left"/>
      <w:pPr>
        <w:ind w:left="350" w:hanging="360"/>
      </w:pPr>
      <w:rPr>
        <w:rFonts w:hint="default"/>
      </w:rPr>
    </w:lvl>
    <w:lvl w:ilvl="1" w:tplc="04060019" w:tentative="1">
      <w:start w:val="1"/>
      <w:numFmt w:val="lowerLetter"/>
      <w:lvlText w:val="%2."/>
      <w:lvlJc w:val="left"/>
      <w:pPr>
        <w:ind w:left="1070" w:hanging="360"/>
      </w:pPr>
    </w:lvl>
    <w:lvl w:ilvl="2" w:tplc="0406001B" w:tentative="1">
      <w:start w:val="1"/>
      <w:numFmt w:val="lowerRoman"/>
      <w:lvlText w:val="%3."/>
      <w:lvlJc w:val="right"/>
      <w:pPr>
        <w:ind w:left="1790" w:hanging="180"/>
      </w:pPr>
    </w:lvl>
    <w:lvl w:ilvl="3" w:tplc="0406000F" w:tentative="1">
      <w:start w:val="1"/>
      <w:numFmt w:val="decimal"/>
      <w:lvlText w:val="%4."/>
      <w:lvlJc w:val="left"/>
      <w:pPr>
        <w:ind w:left="2510" w:hanging="360"/>
      </w:pPr>
    </w:lvl>
    <w:lvl w:ilvl="4" w:tplc="04060019" w:tentative="1">
      <w:start w:val="1"/>
      <w:numFmt w:val="lowerLetter"/>
      <w:lvlText w:val="%5."/>
      <w:lvlJc w:val="left"/>
      <w:pPr>
        <w:ind w:left="3230" w:hanging="360"/>
      </w:pPr>
    </w:lvl>
    <w:lvl w:ilvl="5" w:tplc="0406001B" w:tentative="1">
      <w:start w:val="1"/>
      <w:numFmt w:val="lowerRoman"/>
      <w:lvlText w:val="%6."/>
      <w:lvlJc w:val="right"/>
      <w:pPr>
        <w:ind w:left="3950" w:hanging="180"/>
      </w:pPr>
    </w:lvl>
    <w:lvl w:ilvl="6" w:tplc="0406000F" w:tentative="1">
      <w:start w:val="1"/>
      <w:numFmt w:val="decimal"/>
      <w:lvlText w:val="%7."/>
      <w:lvlJc w:val="left"/>
      <w:pPr>
        <w:ind w:left="4670" w:hanging="360"/>
      </w:pPr>
    </w:lvl>
    <w:lvl w:ilvl="7" w:tplc="04060019" w:tentative="1">
      <w:start w:val="1"/>
      <w:numFmt w:val="lowerLetter"/>
      <w:lvlText w:val="%8."/>
      <w:lvlJc w:val="left"/>
      <w:pPr>
        <w:ind w:left="5390" w:hanging="360"/>
      </w:pPr>
    </w:lvl>
    <w:lvl w:ilvl="8" w:tplc="0406001B" w:tentative="1">
      <w:start w:val="1"/>
      <w:numFmt w:val="lowerRoman"/>
      <w:lvlText w:val="%9."/>
      <w:lvlJc w:val="right"/>
      <w:pPr>
        <w:ind w:left="6110" w:hanging="180"/>
      </w:pPr>
    </w:lvl>
  </w:abstractNum>
  <w:abstractNum w:abstractNumId="5" w15:restartNumberingAfterBreak="0">
    <w:nsid w:val="489D712F"/>
    <w:multiLevelType w:val="hybridMultilevel"/>
    <w:tmpl w:val="E4448AA8"/>
    <w:lvl w:ilvl="0" w:tplc="C92E7AA8">
      <w:numFmt w:val="bullet"/>
      <w:lvlText w:val=""/>
      <w:lvlJc w:val="left"/>
      <w:pPr>
        <w:ind w:left="987" w:hanging="360"/>
      </w:pPr>
      <w:rPr>
        <w:rFonts w:ascii="Wingdings" w:eastAsia="Wingdings" w:hAnsi="Wingdings" w:cs="Wingdings" w:hint="default"/>
        <w:w w:val="100"/>
        <w:sz w:val="16"/>
        <w:szCs w:val="16"/>
        <w:lang w:eastAsia="en-US" w:bidi="ar-SA"/>
      </w:rPr>
    </w:lvl>
    <w:lvl w:ilvl="1" w:tplc="0D5CD5A4">
      <w:numFmt w:val="bullet"/>
      <w:lvlText w:val="•"/>
      <w:lvlJc w:val="left"/>
      <w:pPr>
        <w:ind w:left="1415" w:hanging="360"/>
      </w:pPr>
      <w:rPr>
        <w:rFonts w:hint="default"/>
        <w:lang w:eastAsia="en-US" w:bidi="ar-SA"/>
      </w:rPr>
    </w:lvl>
    <w:lvl w:ilvl="2" w:tplc="7AAA6D90">
      <w:numFmt w:val="bullet"/>
      <w:lvlText w:val="•"/>
      <w:lvlJc w:val="left"/>
      <w:pPr>
        <w:ind w:left="1851" w:hanging="360"/>
      </w:pPr>
      <w:rPr>
        <w:rFonts w:hint="default"/>
        <w:lang w:eastAsia="en-US" w:bidi="ar-SA"/>
      </w:rPr>
    </w:lvl>
    <w:lvl w:ilvl="3" w:tplc="AC4ECDF6">
      <w:numFmt w:val="bullet"/>
      <w:lvlText w:val="•"/>
      <w:lvlJc w:val="left"/>
      <w:pPr>
        <w:ind w:left="2287" w:hanging="360"/>
      </w:pPr>
      <w:rPr>
        <w:rFonts w:hint="default"/>
        <w:lang w:eastAsia="en-US" w:bidi="ar-SA"/>
      </w:rPr>
    </w:lvl>
    <w:lvl w:ilvl="4" w:tplc="EEDE529E">
      <w:numFmt w:val="bullet"/>
      <w:lvlText w:val="•"/>
      <w:lvlJc w:val="left"/>
      <w:pPr>
        <w:ind w:left="2723" w:hanging="360"/>
      </w:pPr>
      <w:rPr>
        <w:rFonts w:hint="default"/>
        <w:lang w:eastAsia="en-US" w:bidi="ar-SA"/>
      </w:rPr>
    </w:lvl>
    <w:lvl w:ilvl="5" w:tplc="F0A44AF4">
      <w:numFmt w:val="bullet"/>
      <w:lvlText w:val="•"/>
      <w:lvlJc w:val="left"/>
      <w:pPr>
        <w:ind w:left="3159" w:hanging="360"/>
      </w:pPr>
      <w:rPr>
        <w:rFonts w:hint="default"/>
        <w:lang w:eastAsia="en-US" w:bidi="ar-SA"/>
      </w:rPr>
    </w:lvl>
    <w:lvl w:ilvl="6" w:tplc="D54A30F0">
      <w:numFmt w:val="bullet"/>
      <w:lvlText w:val="•"/>
      <w:lvlJc w:val="left"/>
      <w:pPr>
        <w:ind w:left="3595" w:hanging="360"/>
      </w:pPr>
      <w:rPr>
        <w:rFonts w:hint="default"/>
        <w:lang w:eastAsia="en-US" w:bidi="ar-SA"/>
      </w:rPr>
    </w:lvl>
    <w:lvl w:ilvl="7" w:tplc="C6D6B5EE">
      <w:numFmt w:val="bullet"/>
      <w:lvlText w:val="•"/>
      <w:lvlJc w:val="left"/>
      <w:pPr>
        <w:ind w:left="4031" w:hanging="360"/>
      </w:pPr>
      <w:rPr>
        <w:rFonts w:hint="default"/>
        <w:lang w:eastAsia="en-US" w:bidi="ar-SA"/>
      </w:rPr>
    </w:lvl>
    <w:lvl w:ilvl="8" w:tplc="F8E2B89C">
      <w:numFmt w:val="bullet"/>
      <w:lvlText w:val="•"/>
      <w:lvlJc w:val="left"/>
      <w:pPr>
        <w:ind w:left="4467" w:hanging="360"/>
      </w:pPr>
      <w:rPr>
        <w:rFonts w:hint="default"/>
        <w:lang w:eastAsia="en-US" w:bidi="ar-SA"/>
      </w:rPr>
    </w:lvl>
  </w:abstractNum>
  <w:abstractNum w:abstractNumId="6" w15:restartNumberingAfterBreak="0">
    <w:nsid w:val="5DEC64F3"/>
    <w:multiLevelType w:val="hybridMultilevel"/>
    <w:tmpl w:val="2C66A85E"/>
    <w:lvl w:ilvl="0" w:tplc="86F028FA">
      <w:start w:val="1"/>
      <w:numFmt w:val="decimal"/>
      <w:lvlText w:val="%1."/>
      <w:lvlJc w:val="left"/>
      <w:pPr>
        <w:ind w:left="240" w:hanging="240"/>
      </w:pPr>
      <w:rPr>
        <w:rFonts w:ascii="Times New Roman" w:eastAsia="Times New Roman" w:hAnsi="Times New Roman" w:cs="Times New Roman" w:hint="default"/>
        <w:b/>
        <w:bCs/>
        <w:w w:val="100"/>
        <w:sz w:val="24"/>
        <w:szCs w:val="24"/>
        <w:lang w:eastAsia="en-US" w:bidi="ar-SA"/>
      </w:rPr>
    </w:lvl>
    <w:lvl w:ilvl="1" w:tplc="6388D2EC">
      <w:numFmt w:val="bullet"/>
      <w:lvlText w:val=""/>
      <w:lvlJc w:val="left"/>
      <w:pPr>
        <w:ind w:left="833" w:hanging="360"/>
      </w:pPr>
      <w:rPr>
        <w:rFonts w:ascii="Symbol" w:eastAsia="Symbol" w:hAnsi="Symbol" w:cs="Symbol" w:hint="default"/>
        <w:w w:val="100"/>
        <w:sz w:val="24"/>
        <w:szCs w:val="24"/>
        <w:lang w:eastAsia="en-US" w:bidi="ar-SA"/>
      </w:rPr>
    </w:lvl>
    <w:lvl w:ilvl="2" w:tplc="53A67A84">
      <w:numFmt w:val="bullet"/>
      <w:lvlText w:val="•"/>
      <w:lvlJc w:val="left"/>
      <w:pPr>
        <w:ind w:left="1880" w:hanging="360"/>
      </w:pPr>
      <w:rPr>
        <w:rFonts w:hint="default"/>
        <w:lang w:eastAsia="en-US" w:bidi="ar-SA"/>
      </w:rPr>
    </w:lvl>
    <w:lvl w:ilvl="3" w:tplc="87F6579C">
      <w:numFmt w:val="bullet"/>
      <w:lvlText w:val="•"/>
      <w:lvlJc w:val="left"/>
      <w:pPr>
        <w:ind w:left="2920" w:hanging="360"/>
      </w:pPr>
      <w:rPr>
        <w:rFonts w:hint="default"/>
        <w:lang w:eastAsia="en-US" w:bidi="ar-SA"/>
      </w:rPr>
    </w:lvl>
    <w:lvl w:ilvl="4" w:tplc="4D0077A4">
      <w:numFmt w:val="bullet"/>
      <w:lvlText w:val="•"/>
      <w:lvlJc w:val="left"/>
      <w:pPr>
        <w:ind w:left="3960" w:hanging="360"/>
      </w:pPr>
      <w:rPr>
        <w:rFonts w:hint="default"/>
        <w:lang w:eastAsia="en-US" w:bidi="ar-SA"/>
      </w:rPr>
    </w:lvl>
    <w:lvl w:ilvl="5" w:tplc="48C0644A">
      <w:numFmt w:val="bullet"/>
      <w:lvlText w:val="•"/>
      <w:lvlJc w:val="left"/>
      <w:pPr>
        <w:ind w:left="5000" w:hanging="360"/>
      </w:pPr>
      <w:rPr>
        <w:rFonts w:hint="default"/>
        <w:lang w:eastAsia="en-US" w:bidi="ar-SA"/>
      </w:rPr>
    </w:lvl>
    <w:lvl w:ilvl="6" w:tplc="05F28146">
      <w:numFmt w:val="bullet"/>
      <w:lvlText w:val="•"/>
      <w:lvlJc w:val="left"/>
      <w:pPr>
        <w:ind w:left="6040" w:hanging="360"/>
      </w:pPr>
      <w:rPr>
        <w:rFonts w:hint="default"/>
        <w:lang w:eastAsia="en-US" w:bidi="ar-SA"/>
      </w:rPr>
    </w:lvl>
    <w:lvl w:ilvl="7" w:tplc="D21AC38A">
      <w:numFmt w:val="bullet"/>
      <w:lvlText w:val="•"/>
      <w:lvlJc w:val="left"/>
      <w:pPr>
        <w:ind w:left="7080" w:hanging="360"/>
      </w:pPr>
      <w:rPr>
        <w:rFonts w:hint="default"/>
        <w:lang w:eastAsia="en-US" w:bidi="ar-SA"/>
      </w:rPr>
    </w:lvl>
    <w:lvl w:ilvl="8" w:tplc="32E03C06">
      <w:numFmt w:val="bullet"/>
      <w:lvlText w:val="•"/>
      <w:lvlJc w:val="left"/>
      <w:pPr>
        <w:ind w:left="8120" w:hanging="360"/>
      </w:pPr>
      <w:rPr>
        <w:rFonts w:hint="default"/>
        <w:lang w:eastAsia="en-US" w:bidi="ar-SA"/>
      </w:rPr>
    </w:lvl>
  </w:abstractNum>
  <w:abstractNum w:abstractNumId="7" w15:restartNumberingAfterBreak="0">
    <w:nsid w:val="5EAB18F9"/>
    <w:multiLevelType w:val="hybridMultilevel"/>
    <w:tmpl w:val="66368580"/>
    <w:lvl w:ilvl="0" w:tplc="9558D31C">
      <w:start w:val="7"/>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2"/>
  </w:num>
  <w:num w:numId="5">
    <w:abstractNumId w:val="0"/>
  </w:num>
  <w:num w:numId="6">
    <w:abstractNumId w:val="1"/>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8"/>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4E14"/>
    <w:rsid w:val="00035B4E"/>
    <w:rsid w:val="0009298E"/>
    <w:rsid w:val="000B1745"/>
    <w:rsid w:val="000C7252"/>
    <w:rsid w:val="00105389"/>
    <w:rsid w:val="001A04EE"/>
    <w:rsid w:val="001C086A"/>
    <w:rsid w:val="001E1BB8"/>
    <w:rsid w:val="00203214"/>
    <w:rsid w:val="00213B4C"/>
    <w:rsid w:val="00221DD9"/>
    <w:rsid w:val="00233A23"/>
    <w:rsid w:val="00240896"/>
    <w:rsid w:val="00291ABF"/>
    <w:rsid w:val="002D612A"/>
    <w:rsid w:val="002E6E2D"/>
    <w:rsid w:val="00333D75"/>
    <w:rsid w:val="003442B8"/>
    <w:rsid w:val="00360BCA"/>
    <w:rsid w:val="0038579B"/>
    <w:rsid w:val="00397D17"/>
    <w:rsid w:val="003E0CA1"/>
    <w:rsid w:val="00452B32"/>
    <w:rsid w:val="0046211C"/>
    <w:rsid w:val="00490A8B"/>
    <w:rsid w:val="004B7CC0"/>
    <w:rsid w:val="004C4926"/>
    <w:rsid w:val="004D5978"/>
    <w:rsid w:val="004E2C85"/>
    <w:rsid w:val="00523CB1"/>
    <w:rsid w:val="006111C0"/>
    <w:rsid w:val="00676D52"/>
    <w:rsid w:val="006B4FC0"/>
    <w:rsid w:val="006C22AB"/>
    <w:rsid w:val="006C3079"/>
    <w:rsid w:val="006F30BA"/>
    <w:rsid w:val="0070427E"/>
    <w:rsid w:val="00724AE8"/>
    <w:rsid w:val="0077261B"/>
    <w:rsid w:val="007B3A7C"/>
    <w:rsid w:val="0085064E"/>
    <w:rsid w:val="00850805"/>
    <w:rsid w:val="00853D14"/>
    <w:rsid w:val="0089136E"/>
    <w:rsid w:val="00894324"/>
    <w:rsid w:val="008A223F"/>
    <w:rsid w:val="00907E23"/>
    <w:rsid w:val="009746D3"/>
    <w:rsid w:val="0099168E"/>
    <w:rsid w:val="009E455F"/>
    <w:rsid w:val="00A33F93"/>
    <w:rsid w:val="00AA0D53"/>
    <w:rsid w:val="00AD657A"/>
    <w:rsid w:val="00AF7E7C"/>
    <w:rsid w:val="00B21673"/>
    <w:rsid w:val="00B648AE"/>
    <w:rsid w:val="00B90594"/>
    <w:rsid w:val="00B9665C"/>
    <w:rsid w:val="00BA3D6B"/>
    <w:rsid w:val="00BA51D1"/>
    <w:rsid w:val="00C10C30"/>
    <w:rsid w:val="00C230DE"/>
    <w:rsid w:val="00C407B9"/>
    <w:rsid w:val="00C74D43"/>
    <w:rsid w:val="00CD46D7"/>
    <w:rsid w:val="00CE0ABB"/>
    <w:rsid w:val="00D254B8"/>
    <w:rsid w:val="00D37AD8"/>
    <w:rsid w:val="00DC125D"/>
    <w:rsid w:val="00DF3447"/>
    <w:rsid w:val="00E05546"/>
    <w:rsid w:val="00E63AF3"/>
    <w:rsid w:val="00E70564"/>
    <w:rsid w:val="00E71709"/>
    <w:rsid w:val="00EA198F"/>
    <w:rsid w:val="00EB188E"/>
    <w:rsid w:val="00F044A7"/>
    <w:rsid w:val="00F0461D"/>
    <w:rsid w:val="00F229EC"/>
    <w:rsid w:val="00F74E14"/>
    <w:rsid w:val="00F83394"/>
    <w:rsid w:val="00FC4A3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23F7F3"/>
  <w15:docId w15:val="{C42C782F-5662-4098-B12B-2437F057B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Overskrift1">
    <w:name w:val="heading 1"/>
    <w:basedOn w:val="Normal"/>
    <w:uiPriority w:val="9"/>
    <w:qFormat/>
    <w:pPr>
      <w:ind w:left="473" w:hanging="362"/>
      <w:outlineLvl w:val="0"/>
    </w:pPr>
    <w:rPr>
      <w:b/>
      <w:bCs/>
      <w:sz w:val="24"/>
      <w:szCs w:val="24"/>
    </w:rPr>
  </w:style>
  <w:style w:type="paragraph" w:styleId="Overskrift2">
    <w:name w:val="heading 2"/>
    <w:basedOn w:val="Normal"/>
    <w:uiPriority w:val="9"/>
    <w:unhideWhenUsed/>
    <w:qFormat/>
    <w:pPr>
      <w:ind w:left="112"/>
      <w:outlineLvl w:val="1"/>
    </w:pPr>
    <w:rPr>
      <w:b/>
      <w:bCs/>
      <w:i/>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Brdtekst">
    <w:name w:val="Body Text"/>
    <w:basedOn w:val="Normal"/>
    <w:link w:val="BrdtekstTegn"/>
    <w:uiPriority w:val="1"/>
    <w:qFormat/>
    <w:rPr>
      <w:sz w:val="24"/>
      <w:szCs w:val="24"/>
    </w:rPr>
  </w:style>
  <w:style w:type="paragraph" w:styleId="Listeafsnit">
    <w:name w:val="List Paragraph"/>
    <w:basedOn w:val="Normal"/>
    <w:uiPriority w:val="1"/>
    <w:qFormat/>
    <w:pPr>
      <w:ind w:left="473" w:hanging="362"/>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105389"/>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105389"/>
    <w:rPr>
      <w:rFonts w:ascii="Segoe UI" w:eastAsia="Times New Roman" w:hAnsi="Segoe UI" w:cs="Segoe UI"/>
      <w:sz w:val="18"/>
      <w:szCs w:val="18"/>
    </w:rPr>
  </w:style>
  <w:style w:type="character" w:styleId="Kommentarhenvisning">
    <w:name w:val="annotation reference"/>
    <w:basedOn w:val="Standardskrifttypeiafsnit"/>
    <w:uiPriority w:val="99"/>
    <w:semiHidden/>
    <w:unhideWhenUsed/>
    <w:rsid w:val="004B7CC0"/>
    <w:rPr>
      <w:sz w:val="16"/>
      <w:szCs w:val="16"/>
    </w:rPr>
  </w:style>
  <w:style w:type="paragraph" w:styleId="Kommentartekst">
    <w:name w:val="annotation text"/>
    <w:basedOn w:val="Normal"/>
    <w:link w:val="KommentartekstTegn"/>
    <w:uiPriority w:val="99"/>
    <w:unhideWhenUsed/>
    <w:rsid w:val="004B7CC0"/>
    <w:rPr>
      <w:sz w:val="20"/>
      <w:szCs w:val="20"/>
    </w:rPr>
  </w:style>
  <w:style w:type="character" w:customStyle="1" w:styleId="KommentartekstTegn">
    <w:name w:val="Kommentartekst Tegn"/>
    <w:basedOn w:val="Standardskrifttypeiafsnit"/>
    <w:link w:val="Kommentartekst"/>
    <w:uiPriority w:val="99"/>
    <w:rsid w:val="004B7CC0"/>
    <w:rPr>
      <w:rFonts w:ascii="Times New Roman" w:eastAsia="Times New Roman" w:hAnsi="Times New Roman" w:cs="Times New Roman"/>
      <w:sz w:val="20"/>
      <w:szCs w:val="20"/>
    </w:rPr>
  </w:style>
  <w:style w:type="paragraph" w:styleId="Kommentaremne">
    <w:name w:val="annotation subject"/>
    <w:basedOn w:val="Kommentartekst"/>
    <w:next w:val="Kommentartekst"/>
    <w:link w:val="KommentaremneTegn"/>
    <w:uiPriority w:val="99"/>
    <w:semiHidden/>
    <w:unhideWhenUsed/>
    <w:rsid w:val="004B7CC0"/>
    <w:rPr>
      <w:b/>
      <w:bCs/>
    </w:rPr>
  </w:style>
  <w:style w:type="character" w:customStyle="1" w:styleId="KommentaremneTegn">
    <w:name w:val="Kommentaremne Tegn"/>
    <w:basedOn w:val="KommentartekstTegn"/>
    <w:link w:val="Kommentaremne"/>
    <w:uiPriority w:val="99"/>
    <w:semiHidden/>
    <w:rsid w:val="004B7CC0"/>
    <w:rPr>
      <w:rFonts w:ascii="Times New Roman" w:eastAsia="Times New Roman" w:hAnsi="Times New Roman" w:cs="Times New Roman"/>
      <w:b/>
      <w:bCs/>
      <w:sz w:val="20"/>
      <w:szCs w:val="20"/>
    </w:rPr>
  </w:style>
  <w:style w:type="paragraph" w:styleId="Korrektur">
    <w:name w:val="Revision"/>
    <w:hidden/>
    <w:uiPriority w:val="99"/>
    <w:semiHidden/>
    <w:rsid w:val="002E6E2D"/>
    <w:pPr>
      <w:widowControl/>
      <w:autoSpaceDE/>
      <w:autoSpaceDN/>
    </w:pPr>
    <w:rPr>
      <w:rFonts w:ascii="Times New Roman" w:eastAsia="Times New Roman" w:hAnsi="Times New Roman" w:cs="Times New Roman"/>
    </w:rPr>
  </w:style>
  <w:style w:type="character" w:customStyle="1" w:styleId="BrdtekstTegn">
    <w:name w:val="Brødtekst Tegn"/>
    <w:basedOn w:val="Standardskrifttypeiafsnit"/>
    <w:link w:val="Brdtekst"/>
    <w:uiPriority w:val="1"/>
    <w:rsid w:val="009746D3"/>
    <w:rPr>
      <w:rFonts w:ascii="Times New Roman" w:eastAsia="Times New Roman" w:hAnsi="Times New Roman" w:cs="Times New Roman"/>
      <w:sz w:val="24"/>
      <w:szCs w:val="24"/>
    </w:rPr>
  </w:style>
  <w:style w:type="paragraph" w:styleId="Sidehoved">
    <w:name w:val="header"/>
    <w:basedOn w:val="Normal"/>
    <w:link w:val="SidehovedTegn"/>
    <w:uiPriority w:val="99"/>
    <w:unhideWhenUsed/>
    <w:rsid w:val="00907E23"/>
    <w:pPr>
      <w:tabs>
        <w:tab w:val="center" w:pos="4819"/>
        <w:tab w:val="right" w:pos="9638"/>
      </w:tabs>
    </w:pPr>
  </w:style>
  <w:style w:type="character" w:customStyle="1" w:styleId="SidehovedTegn">
    <w:name w:val="Sidehoved Tegn"/>
    <w:basedOn w:val="Standardskrifttypeiafsnit"/>
    <w:link w:val="Sidehoved"/>
    <w:uiPriority w:val="99"/>
    <w:rsid w:val="00907E23"/>
    <w:rPr>
      <w:rFonts w:ascii="Times New Roman" w:eastAsia="Times New Roman" w:hAnsi="Times New Roman" w:cs="Times New Roman"/>
    </w:rPr>
  </w:style>
  <w:style w:type="paragraph" w:styleId="Sidefod">
    <w:name w:val="footer"/>
    <w:basedOn w:val="Normal"/>
    <w:link w:val="SidefodTegn"/>
    <w:uiPriority w:val="99"/>
    <w:unhideWhenUsed/>
    <w:rsid w:val="00907E23"/>
    <w:pPr>
      <w:tabs>
        <w:tab w:val="center" w:pos="4819"/>
        <w:tab w:val="right" w:pos="9638"/>
      </w:tabs>
    </w:pPr>
  </w:style>
  <w:style w:type="character" w:customStyle="1" w:styleId="SidefodTegn">
    <w:name w:val="Sidefod Tegn"/>
    <w:basedOn w:val="Standardskrifttypeiafsnit"/>
    <w:link w:val="Sidefod"/>
    <w:uiPriority w:val="99"/>
    <w:rsid w:val="00907E23"/>
    <w:rPr>
      <w:rFonts w:ascii="Times New Roman" w:eastAsia="Times New Roman" w:hAnsi="Times New Roman" w:cs="Times New Roman"/>
    </w:rPr>
  </w:style>
  <w:style w:type="paragraph" w:customStyle="1" w:styleId="Default">
    <w:name w:val="Default"/>
    <w:rsid w:val="00B21673"/>
    <w:pPr>
      <w:widowControl/>
      <w:adjustRightInd w:val="0"/>
    </w:pPr>
    <w:rPr>
      <w:rFonts w:ascii="Times New Roman" w:hAnsi="Times New Roman" w:cs="Times New Roman"/>
      <w:color w:val="000000"/>
      <w:sz w:val="24"/>
      <w:szCs w:val="24"/>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879363">
      <w:bodyDiv w:val="1"/>
      <w:marLeft w:val="0"/>
      <w:marRight w:val="0"/>
      <w:marTop w:val="0"/>
      <w:marBottom w:val="0"/>
      <w:divBdr>
        <w:top w:val="none" w:sz="0" w:space="0" w:color="auto"/>
        <w:left w:val="none" w:sz="0" w:space="0" w:color="auto"/>
        <w:bottom w:val="none" w:sz="0" w:space="0" w:color="auto"/>
        <w:right w:val="none" w:sz="0" w:space="0" w:color="auto"/>
      </w:divBdr>
    </w:div>
    <w:div w:id="560752717">
      <w:bodyDiv w:val="1"/>
      <w:marLeft w:val="0"/>
      <w:marRight w:val="0"/>
      <w:marTop w:val="0"/>
      <w:marBottom w:val="0"/>
      <w:divBdr>
        <w:top w:val="none" w:sz="0" w:space="0" w:color="auto"/>
        <w:left w:val="none" w:sz="0" w:space="0" w:color="auto"/>
        <w:bottom w:val="none" w:sz="0" w:space="0" w:color="auto"/>
        <w:right w:val="none" w:sz="0" w:space="0" w:color="auto"/>
      </w:divBdr>
    </w:div>
    <w:div w:id="19200947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23" Type="http://schemas.microsoft.com/office/2018/08/relationships/commentsExtensible" Target="commentsExtensible.xml"/><Relationship Id="rId10" Type="http://schemas.openxmlformats.org/officeDocument/2006/relationships/hyperlink" Target="http://www.dds.n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A1A587AD1807B34286B194D4AB1D0A17" ma:contentTypeVersion="15" ma:contentTypeDescription="Opret et nyt dokument." ma:contentTypeScope="" ma:versionID="3b975717b8d739c8f2e4de758923deb9">
  <xsd:schema xmlns:xsd="http://www.w3.org/2001/XMLSchema" xmlns:xs="http://www.w3.org/2001/XMLSchema" xmlns:p="http://schemas.microsoft.com/office/2006/metadata/properties" xmlns:ns1="http://schemas.microsoft.com/sharepoint/v3" xmlns:ns3="3a54acb2-72b7-4790-b340-4886798a35aa" xmlns:ns4="7e98593f-848a-40b3-98a0-d2d7196478cc" targetNamespace="http://schemas.microsoft.com/office/2006/metadata/properties" ma:root="true" ma:fieldsID="a3730e957f57f680286a7460bc208a0d" ns1:_="" ns3:_="" ns4:_="">
    <xsd:import namespace="http://schemas.microsoft.com/sharepoint/v3"/>
    <xsd:import namespace="3a54acb2-72b7-4790-b340-4886798a35aa"/>
    <xsd:import namespace="7e98593f-848a-40b3-98a0-d2d7196478cc"/>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DateTaken"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Egenskaber for Unified Compliance Policy" ma:hidden="true" ma:internalName="_ip_UnifiedCompliancePolicyProperties">
      <xsd:simpleType>
        <xsd:restriction base="dms:Note"/>
      </xsd:simpleType>
    </xsd:element>
    <xsd:element name="_ip_UnifiedCompliancePolicyUIAction" ma:index="18" nillable="true" ma:displayName="Handling for Unified Compliance Policy-grænseflade"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54acb2-72b7-4790-b340-4886798a35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98593f-848a-40b3-98a0-d2d7196478cc" elementFormDefault="qualified">
    <xsd:import namespace="http://schemas.microsoft.com/office/2006/documentManagement/types"/>
    <xsd:import namespace="http://schemas.microsoft.com/office/infopath/2007/PartnerControls"/>
    <xsd:element name="SharedWithUsers" ma:index="11"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lt med detaljer" ma:internalName="SharedWithDetails" ma:readOnly="true">
      <xsd:simpleType>
        <xsd:restriction base="dms:Note">
          <xsd:maxLength value="255"/>
        </xsd:restriction>
      </xsd:simpleType>
    </xsd:element>
    <xsd:element name="SharingHintHash" ma:index="13" nillable="true" ma:displayName="Hashværdi for deling"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FABD112-4EBD-4EAE-AAAA-29CDE252A1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a54acb2-72b7-4790-b340-4886798a35aa"/>
    <ds:schemaRef ds:uri="7e98593f-848a-40b3-98a0-d2d719647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20AA4EF-9051-425C-9AE6-FD55831C1AEC}">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88D9EEBF-5954-44B9-B4A8-13951D34C9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3841</Words>
  <Characters>23437</Characters>
  <Application>Microsoft Office Word</Application>
  <DocSecurity>0</DocSecurity>
  <Lines>195</Lines>
  <Paragraphs>54</Paragraphs>
  <ScaleCrop>false</ScaleCrop>
  <HeadingPairs>
    <vt:vector size="2" baseType="variant">
      <vt:variant>
        <vt:lpstr>Titel</vt:lpstr>
      </vt:variant>
      <vt:variant>
        <vt:i4>1</vt:i4>
      </vt:variant>
    </vt:vector>
  </HeadingPairs>
  <TitlesOfParts>
    <vt:vector size="1" baseType="lpstr">
      <vt:lpstr>Dansk Dermatologisk Selskab</vt:lpstr>
    </vt:vector>
  </TitlesOfParts>
  <Company/>
  <LinksUpToDate>false</LinksUpToDate>
  <CharactersWithSpaces>27224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Dansk Dermatologisk Selskab</dc:title>
  <dc:creator>Administrator</dc:creator>
  <cp:lastModifiedBy>Christina Skovbølling Haak</cp:lastModifiedBy>
  <cp:revision>2</cp:revision>
  <dcterms:created xsi:type="dcterms:W3CDTF">2021-01-31T14:50:00Z</dcterms:created>
  <dcterms:modified xsi:type="dcterms:W3CDTF">2021-01-31T14:50:00Z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2019-10-17T00:00:00Z</vt:filetime>
  </property>
  <property fmtid="{D5CDD505-2E9C-101B-9397-08002B2CF9AE}" pid="3" name="Creator">
    <vt:lpwstr>Microsoft® Word til Office 365</vt:lpwstr>
  </property>
  <property fmtid="{D5CDD505-2E9C-101B-9397-08002B2CF9AE}" pid="4" name="LastSaved">
    <vt:filetime>2020-09-27T00:00:00Z</vt:filetime>
  </property>
  <property fmtid="{D5CDD505-2E9C-101B-9397-08002B2CF9AE}" pid="5" name="ContentTypeId">
    <vt:lpwstr>0x010100A1A587AD1807B34286B194D4AB1D0A17</vt:lpwstr>
  </property>
</Properties>
</file>