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AF9" w:rsidRPr="002F6BFC" w:rsidRDefault="008D5AF9" w:rsidP="008D5AF9">
      <w:pPr>
        <w:jc w:val="center"/>
        <w:rPr>
          <w:b/>
          <w:sz w:val="24"/>
          <w:szCs w:val="24"/>
        </w:rPr>
      </w:pPr>
      <w:bookmarkStart w:id="0" w:name="_GoBack"/>
      <w:bookmarkEnd w:id="0"/>
      <w:r w:rsidRPr="002F6BFC">
        <w:rPr>
          <w:noProof/>
          <w:sz w:val="24"/>
          <w:szCs w:val="24"/>
          <w:lang w:eastAsia="da-DK"/>
        </w:rPr>
        <w:drawing>
          <wp:anchor distT="0" distB="0" distL="114300" distR="114300" simplePos="0" relativeHeight="251659264" behindDoc="0" locked="0" layoutInCell="1" allowOverlap="1" wp14:anchorId="20D9B4AC" wp14:editId="422A914D">
            <wp:simplePos x="0" y="0"/>
            <wp:positionH relativeFrom="column">
              <wp:posOffset>4975860</wp:posOffset>
            </wp:positionH>
            <wp:positionV relativeFrom="paragraph">
              <wp:posOffset>0</wp:posOffset>
            </wp:positionV>
            <wp:extent cx="1011600" cy="103320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1600" cy="1033200"/>
                    </a:xfrm>
                    <a:prstGeom prst="rect">
                      <a:avLst/>
                    </a:prstGeom>
                    <a:noFill/>
                  </pic:spPr>
                </pic:pic>
              </a:graphicData>
            </a:graphic>
            <wp14:sizeRelH relativeFrom="margin">
              <wp14:pctWidth>0</wp14:pctWidth>
            </wp14:sizeRelH>
            <wp14:sizeRelV relativeFrom="margin">
              <wp14:pctHeight>0</wp14:pctHeight>
            </wp14:sizeRelV>
          </wp:anchor>
        </w:drawing>
      </w:r>
    </w:p>
    <w:p w:rsidR="008D5AF9" w:rsidRPr="002F6BFC" w:rsidRDefault="008D5AF9" w:rsidP="008D5AF9">
      <w:pPr>
        <w:pStyle w:val="Ingenafstand"/>
        <w:rPr>
          <w:sz w:val="24"/>
          <w:szCs w:val="24"/>
        </w:rPr>
      </w:pPr>
    </w:p>
    <w:p w:rsidR="008D5AF9" w:rsidRPr="002F6BFC" w:rsidRDefault="008D5AF9" w:rsidP="008D5AF9">
      <w:pPr>
        <w:rPr>
          <w:sz w:val="24"/>
          <w:szCs w:val="24"/>
        </w:rPr>
      </w:pPr>
    </w:p>
    <w:p w:rsidR="008D5AF9" w:rsidRPr="002F6BFC" w:rsidRDefault="008D5AF9" w:rsidP="008D5AF9">
      <w:pPr>
        <w:pStyle w:val="Ingenafstand"/>
        <w:rPr>
          <w:sz w:val="24"/>
          <w:szCs w:val="24"/>
        </w:rPr>
      </w:pPr>
      <w:r w:rsidRPr="002F6BFC">
        <w:rPr>
          <w:sz w:val="24"/>
          <w:szCs w:val="24"/>
        </w:rPr>
        <w:tab/>
      </w:r>
    </w:p>
    <w:p w:rsidR="008D5AF9" w:rsidRPr="002F6BFC" w:rsidRDefault="008D5AF9" w:rsidP="008D5AF9">
      <w:pPr>
        <w:pStyle w:val="Ingenafstand"/>
        <w:rPr>
          <w:rStyle w:val="Overskrift1Tegn"/>
          <w:sz w:val="24"/>
          <w:szCs w:val="24"/>
        </w:rPr>
      </w:pPr>
    </w:p>
    <w:p w:rsidR="008D5AF9" w:rsidRPr="002F6BFC" w:rsidRDefault="008D5AF9" w:rsidP="008D5AF9">
      <w:pPr>
        <w:rPr>
          <w:sz w:val="24"/>
          <w:szCs w:val="24"/>
        </w:rPr>
      </w:pPr>
    </w:p>
    <w:p w:rsidR="008D5AF9" w:rsidRPr="00F84633" w:rsidRDefault="008D5AF9" w:rsidP="008D5AF9">
      <w:pPr>
        <w:rPr>
          <w:sz w:val="32"/>
          <w:szCs w:val="32"/>
        </w:rPr>
      </w:pPr>
      <w:r w:rsidRPr="00F84633">
        <w:rPr>
          <w:sz w:val="32"/>
          <w:szCs w:val="32"/>
        </w:rPr>
        <w:t xml:space="preserve">DDS-vejledning vedrørende Seksuelt Overførbare Infektioner </w:t>
      </w:r>
    </w:p>
    <w:p w:rsidR="008D5AF9" w:rsidRPr="002F6BFC" w:rsidRDefault="008D5AF9" w:rsidP="008D5AF9">
      <w:pPr>
        <w:rPr>
          <w:sz w:val="24"/>
          <w:szCs w:val="24"/>
        </w:rPr>
      </w:pPr>
    </w:p>
    <w:p w:rsidR="008D5AF9" w:rsidRPr="002F6BFC" w:rsidRDefault="008D5AF9" w:rsidP="008D5AF9">
      <w:pPr>
        <w:rPr>
          <w:sz w:val="24"/>
          <w:szCs w:val="24"/>
        </w:rPr>
      </w:pPr>
    </w:p>
    <w:p w:rsidR="008D5AF9" w:rsidRPr="002F6BFC" w:rsidRDefault="008D5AF9" w:rsidP="008D5AF9">
      <w:pPr>
        <w:rPr>
          <w:b/>
          <w:bCs/>
          <w:sz w:val="24"/>
          <w:szCs w:val="24"/>
        </w:rPr>
      </w:pPr>
    </w:p>
    <w:p w:rsidR="008D5AF9" w:rsidRPr="002F6BFC" w:rsidRDefault="008D5AF9" w:rsidP="008D5AF9">
      <w:pPr>
        <w:rPr>
          <w:b/>
          <w:bCs/>
          <w:sz w:val="24"/>
          <w:szCs w:val="24"/>
        </w:rPr>
      </w:pPr>
      <w:r w:rsidRPr="002F6BFC">
        <w:rPr>
          <w:b/>
          <w:bCs/>
          <w:sz w:val="24"/>
          <w:szCs w:val="24"/>
        </w:rPr>
        <w:t xml:space="preserve">DDS nedsat ad hoc udvalg bestående af følgende medlemmer: </w:t>
      </w:r>
    </w:p>
    <w:p w:rsidR="008D5AF9" w:rsidRPr="002F6BFC" w:rsidRDefault="008D5AF9" w:rsidP="008D5AF9">
      <w:pPr>
        <w:pStyle w:val="Ingenafstand"/>
        <w:spacing w:line="360" w:lineRule="auto"/>
        <w:rPr>
          <w:sz w:val="24"/>
          <w:szCs w:val="24"/>
        </w:rPr>
      </w:pPr>
      <w:r w:rsidRPr="002F6BFC">
        <w:rPr>
          <w:sz w:val="24"/>
          <w:szCs w:val="24"/>
        </w:rPr>
        <w:t xml:space="preserve">Helle Kiellberg Larsen, afdelingslæge, Bispebjerg Hospital (formand) </w:t>
      </w:r>
    </w:p>
    <w:p w:rsidR="008D5AF9" w:rsidRDefault="008D5AF9" w:rsidP="008D5AF9">
      <w:pPr>
        <w:shd w:val="clear" w:color="auto" w:fill="FFFFFF"/>
        <w:spacing w:after="0" w:line="360" w:lineRule="auto"/>
        <w:rPr>
          <w:rFonts w:ascii="Calibri" w:eastAsia="Times New Roman" w:hAnsi="Calibri" w:cs="Calibri"/>
          <w:color w:val="000000"/>
          <w:sz w:val="24"/>
          <w:szCs w:val="24"/>
          <w:lang w:eastAsia="da-DK"/>
        </w:rPr>
      </w:pPr>
      <w:r w:rsidRPr="002F6BFC">
        <w:rPr>
          <w:rFonts w:ascii="Calibri" w:eastAsia="Times New Roman" w:hAnsi="Calibri" w:cs="Calibri"/>
          <w:color w:val="000000"/>
          <w:sz w:val="24"/>
          <w:szCs w:val="24"/>
          <w:lang w:eastAsia="da-DK"/>
        </w:rPr>
        <w:t xml:space="preserve">Maria Blomberg, </w:t>
      </w:r>
      <w:r>
        <w:rPr>
          <w:rFonts w:ascii="Calibri" w:eastAsia="Times New Roman" w:hAnsi="Calibri" w:cs="Calibri"/>
          <w:color w:val="000000"/>
          <w:sz w:val="24"/>
          <w:szCs w:val="24"/>
          <w:lang w:eastAsia="da-DK"/>
        </w:rPr>
        <w:t>speciallæge</w:t>
      </w:r>
      <w:r w:rsidRPr="002F6BFC">
        <w:rPr>
          <w:rFonts w:ascii="Calibri" w:eastAsia="Times New Roman" w:hAnsi="Calibri" w:cs="Calibri"/>
          <w:color w:val="000000"/>
          <w:sz w:val="24"/>
          <w:szCs w:val="24"/>
          <w:lang w:eastAsia="da-DK"/>
        </w:rPr>
        <w:t>, Gentofte Hospital</w:t>
      </w:r>
    </w:p>
    <w:p w:rsidR="008D5AF9" w:rsidRPr="002F6BFC" w:rsidRDefault="008D5AF9" w:rsidP="008D5AF9">
      <w:pPr>
        <w:shd w:val="clear" w:color="auto" w:fill="FFFFFF"/>
        <w:spacing w:after="0" w:line="360" w:lineRule="auto"/>
        <w:rPr>
          <w:rFonts w:ascii="Calibri" w:eastAsia="Times New Roman" w:hAnsi="Calibri" w:cs="Calibri"/>
          <w:color w:val="000000"/>
          <w:sz w:val="24"/>
          <w:szCs w:val="24"/>
          <w:lang w:eastAsia="da-DK"/>
        </w:rPr>
      </w:pPr>
      <w:r w:rsidRPr="002F6BFC">
        <w:rPr>
          <w:rFonts w:ascii="Calibri" w:eastAsia="Times New Roman" w:hAnsi="Calibri" w:cs="Calibri"/>
          <w:color w:val="000000"/>
          <w:sz w:val="24"/>
          <w:szCs w:val="24"/>
          <w:lang w:eastAsia="da-DK"/>
        </w:rPr>
        <w:t xml:space="preserve">Line Kibsgaard, </w:t>
      </w:r>
      <w:r>
        <w:rPr>
          <w:rFonts w:ascii="Calibri" w:eastAsia="Times New Roman" w:hAnsi="Calibri" w:cs="Calibri"/>
          <w:color w:val="000000"/>
          <w:sz w:val="24"/>
          <w:szCs w:val="24"/>
          <w:lang w:eastAsia="da-DK"/>
        </w:rPr>
        <w:t>1. reservelæge</w:t>
      </w:r>
      <w:r w:rsidRPr="002F6BFC">
        <w:rPr>
          <w:rFonts w:ascii="Calibri" w:eastAsia="Times New Roman" w:hAnsi="Calibri" w:cs="Calibri"/>
          <w:color w:val="000000"/>
          <w:sz w:val="24"/>
          <w:szCs w:val="24"/>
          <w:lang w:eastAsia="da-DK"/>
        </w:rPr>
        <w:t xml:space="preserve">, </w:t>
      </w:r>
      <w:r>
        <w:rPr>
          <w:rFonts w:ascii="Calibri" w:eastAsia="Times New Roman" w:hAnsi="Calibri" w:cs="Calibri"/>
          <w:color w:val="000000"/>
          <w:sz w:val="24"/>
          <w:szCs w:val="24"/>
          <w:lang w:eastAsia="da-DK"/>
        </w:rPr>
        <w:t>Aarhus universitetshospital</w:t>
      </w:r>
      <w:r w:rsidRPr="002F6BFC">
        <w:rPr>
          <w:rFonts w:ascii="Calibri" w:eastAsia="Times New Roman" w:hAnsi="Calibri" w:cs="Calibri"/>
          <w:color w:val="000000"/>
          <w:sz w:val="24"/>
          <w:szCs w:val="24"/>
          <w:lang w:eastAsia="da-DK"/>
        </w:rPr>
        <w:br/>
        <w:t xml:space="preserve">Diljit Kaur Knudsen, overlæge, Gentofte Hospital </w:t>
      </w:r>
      <w:r w:rsidRPr="002F6BFC">
        <w:rPr>
          <w:rFonts w:ascii="Calibri" w:eastAsia="Times New Roman" w:hAnsi="Calibri" w:cs="Calibri"/>
          <w:color w:val="000000"/>
          <w:sz w:val="24"/>
          <w:szCs w:val="24"/>
          <w:lang w:eastAsia="da-DK"/>
        </w:rPr>
        <w:br/>
        <w:t>Kristian Kofoed, Speciallægepraksis, Rødovre</w:t>
      </w:r>
    </w:p>
    <w:p w:rsidR="008D5AF9" w:rsidRDefault="008D5AF9" w:rsidP="008D5AF9">
      <w:pPr>
        <w:shd w:val="clear" w:color="auto" w:fill="FFFFFF"/>
        <w:spacing w:after="0" w:line="360" w:lineRule="auto"/>
        <w:rPr>
          <w:rFonts w:ascii="Calibri" w:eastAsia="Times New Roman" w:hAnsi="Calibri" w:cs="Calibri"/>
          <w:color w:val="000000"/>
          <w:sz w:val="24"/>
          <w:szCs w:val="24"/>
          <w:lang w:eastAsia="da-DK"/>
        </w:rPr>
      </w:pPr>
      <w:r w:rsidRPr="002F6BFC">
        <w:rPr>
          <w:rFonts w:ascii="Calibri" w:eastAsia="Times New Roman" w:hAnsi="Calibri" w:cs="Calibri"/>
          <w:color w:val="000000"/>
          <w:sz w:val="24"/>
          <w:szCs w:val="24"/>
          <w:lang w:eastAsia="da-DK"/>
        </w:rPr>
        <w:t xml:space="preserve">Kirsten Salado-Rasmussen, 1. reservelæge, Bispebjerg Hospital </w:t>
      </w:r>
    </w:p>
    <w:p w:rsidR="008D5AF9" w:rsidRPr="002F6BFC" w:rsidRDefault="008D5AF9" w:rsidP="008D5AF9">
      <w:pPr>
        <w:shd w:val="clear" w:color="auto" w:fill="FFFFFF"/>
        <w:spacing w:after="0" w:line="360" w:lineRule="auto"/>
        <w:rPr>
          <w:rFonts w:ascii="Calibri" w:eastAsia="Times New Roman" w:hAnsi="Calibri" w:cs="Calibri"/>
          <w:color w:val="000000"/>
          <w:sz w:val="24"/>
          <w:szCs w:val="24"/>
          <w:lang w:eastAsia="da-DK"/>
        </w:rPr>
      </w:pPr>
      <w:r w:rsidRPr="002F6BFC">
        <w:rPr>
          <w:rFonts w:ascii="Calibri" w:eastAsia="Times New Roman" w:hAnsi="Calibri" w:cs="Calibri"/>
          <w:color w:val="000000"/>
          <w:sz w:val="24"/>
          <w:szCs w:val="24"/>
          <w:lang w:eastAsia="da-DK"/>
        </w:rPr>
        <w:t>Eva Susann</w:t>
      </w:r>
      <w:r>
        <w:rPr>
          <w:rFonts w:ascii="Calibri" w:eastAsia="Times New Roman" w:hAnsi="Calibri" w:cs="Calibri"/>
          <w:color w:val="000000"/>
          <w:sz w:val="24"/>
          <w:szCs w:val="24"/>
          <w:lang w:eastAsia="da-DK"/>
        </w:rPr>
        <w:t>a</w:t>
      </w:r>
      <w:r w:rsidRPr="002F6BFC">
        <w:rPr>
          <w:rFonts w:ascii="Calibri" w:eastAsia="Times New Roman" w:hAnsi="Calibri" w:cs="Calibri"/>
          <w:color w:val="000000"/>
          <w:sz w:val="24"/>
          <w:szCs w:val="24"/>
          <w:lang w:eastAsia="da-DK"/>
        </w:rPr>
        <w:t xml:space="preserve"> Tracz, Speciallægepraksis, </w:t>
      </w:r>
      <w:r>
        <w:rPr>
          <w:rFonts w:ascii="Calibri" w:eastAsia="Times New Roman" w:hAnsi="Calibri" w:cs="Calibri"/>
          <w:color w:val="000000"/>
          <w:sz w:val="24"/>
          <w:szCs w:val="24"/>
          <w:lang w:eastAsia="da-DK"/>
        </w:rPr>
        <w:t>Aa</w:t>
      </w:r>
      <w:r w:rsidRPr="002F6BFC">
        <w:rPr>
          <w:rFonts w:ascii="Calibri" w:eastAsia="Times New Roman" w:hAnsi="Calibri" w:cs="Calibri"/>
          <w:color w:val="000000"/>
          <w:sz w:val="24"/>
          <w:szCs w:val="24"/>
          <w:lang w:eastAsia="da-DK"/>
        </w:rPr>
        <w:t>lborg</w:t>
      </w:r>
    </w:p>
    <w:p w:rsidR="008D5AF9" w:rsidRPr="002F6BFC" w:rsidRDefault="008D5AF9" w:rsidP="008D5AF9">
      <w:pPr>
        <w:shd w:val="clear" w:color="auto" w:fill="FFFFFF"/>
        <w:spacing w:after="0" w:line="360" w:lineRule="auto"/>
        <w:rPr>
          <w:rFonts w:ascii="Calibri" w:eastAsia="Times New Roman" w:hAnsi="Calibri" w:cs="Calibri"/>
          <w:color w:val="000000"/>
          <w:sz w:val="24"/>
          <w:szCs w:val="24"/>
          <w:lang w:eastAsia="da-DK"/>
        </w:rPr>
      </w:pPr>
      <w:r w:rsidRPr="002F6BFC">
        <w:rPr>
          <w:rFonts w:ascii="Calibri" w:eastAsia="Times New Roman" w:hAnsi="Calibri" w:cs="Calibri"/>
          <w:color w:val="000000"/>
          <w:sz w:val="24"/>
          <w:szCs w:val="24"/>
          <w:lang w:eastAsia="da-DK"/>
        </w:rPr>
        <w:br/>
      </w:r>
    </w:p>
    <w:p w:rsidR="008D5AF9" w:rsidRPr="002F6BFC" w:rsidRDefault="008D5AF9" w:rsidP="008D5AF9">
      <w:pPr>
        <w:pStyle w:val="Ingenafstand"/>
        <w:spacing w:line="360" w:lineRule="auto"/>
        <w:rPr>
          <w:sz w:val="24"/>
          <w:szCs w:val="24"/>
        </w:rPr>
      </w:pPr>
    </w:p>
    <w:p w:rsidR="008D5AF9" w:rsidRPr="002F6BFC" w:rsidRDefault="008D5AF9" w:rsidP="008D5AF9">
      <w:pPr>
        <w:pStyle w:val="Ingenafstand"/>
        <w:rPr>
          <w:sz w:val="24"/>
          <w:szCs w:val="24"/>
        </w:rPr>
      </w:pPr>
    </w:p>
    <w:p w:rsidR="008D5AF9" w:rsidRPr="002F6BFC" w:rsidRDefault="008D5AF9" w:rsidP="008D5AF9">
      <w:pPr>
        <w:pStyle w:val="Ingenafstand"/>
        <w:rPr>
          <w:sz w:val="24"/>
          <w:szCs w:val="24"/>
        </w:rPr>
      </w:pPr>
    </w:p>
    <w:p w:rsidR="008D5AF9" w:rsidRPr="002F6BFC" w:rsidRDefault="008D5AF9" w:rsidP="008D5AF9">
      <w:pPr>
        <w:pStyle w:val="Ingenafstand"/>
        <w:rPr>
          <w:sz w:val="24"/>
          <w:szCs w:val="24"/>
        </w:rPr>
      </w:pPr>
    </w:p>
    <w:p w:rsidR="008D5AF9" w:rsidRPr="002F6BFC" w:rsidRDefault="008D5AF9" w:rsidP="008D5AF9">
      <w:pPr>
        <w:pStyle w:val="Ingenafstand"/>
        <w:rPr>
          <w:sz w:val="24"/>
          <w:szCs w:val="24"/>
        </w:rPr>
      </w:pPr>
    </w:p>
    <w:p w:rsidR="008D5AF9" w:rsidRPr="002F6BFC" w:rsidRDefault="008D5AF9" w:rsidP="008D5AF9">
      <w:pPr>
        <w:pStyle w:val="Ingenafstand"/>
        <w:rPr>
          <w:sz w:val="24"/>
          <w:szCs w:val="24"/>
        </w:rPr>
      </w:pPr>
    </w:p>
    <w:p w:rsidR="008D5AF9" w:rsidRPr="002F6BFC" w:rsidRDefault="008D5AF9" w:rsidP="008D5AF9">
      <w:pPr>
        <w:pStyle w:val="Ingenafstand"/>
        <w:rPr>
          <w:sz w:val="24"/>
          <w:szCs w:val="24"/>
        </w:rPr>
      </w:pPr>
    </w:p>
    <w:p w:rsidR="008D5AF9" w:rsidRPr="002F6BFC" w:rsidRDefault="008D5AF9" w:rsidP="008D5AF9">
      <w:pPr>
        <w:pStyle w:val="Ingenafstand"/>
        <w:rPr>
          <w:sz w:val="24"/>
          <w:szCs w:val="24"/>
        </w:rPr>
      </w:pPr>
    </w:p>
    <w:p w:rsidR="008D5AF9" w:rsidRPr="002F6BFC" w:rsidRDefault="008D5AF9" w:rsidP="008D5AF9">
      <w:pPr>
        <w:pStyle w:val="Ingenafstand"/>
        <w:rPr>
          <w:sz w:val="24"/>
          <w:szCs w:val="24"/>
        </w:rPr>
      </w:pPr>
    </w:p>
    <w:p w:rsidR="008D5AF9" w:rsidRPr="002F6BFC" w:rsidRDefault="008D5AF9" w:rsidP="008D5AF9">
      <w:pPr>
        <w:pStyle w:val="Ingenafstand"/>
        <w:rPr>
          <w:sz w:val="24"/>
          <w:szCs w:val="24"/>
        </w:rPr>
      </w:pPr>
    </w:p>
    <w:p w:rsidR="008D5AF9" w:rsidRPr="002F6BFC" w:rsidRDefault="008D5AF9" w:rsidP="008D5AF9">
      <w:pPr>
        <w:pStyle w:val="Ingenafstand"/>
        <w:rPr>
          <w:sz w:val="24"/>
          <w:szCs w:val="24"/>
        </w:rPr>
      </w:pPr>
    </w:p>
    <w:p w:rsidR="008D5AF9" w:rsidRPr="002F6BFC" w:rsidRDefault="008D5AF9" w:rsidP="008D5AF9">
      <w:pPr>
        <w:pStyle w:val="Ingenafstand"/>
        <w:pBdr>
          <w:bottom w:val="single" w:sz="4" w:space="1" w:color="auto"/>
        </w:pBdr>
        <w:rPr>
          <w:sz w:val="24"/>
          <w:szCs w:val="24"/>
        </w:rPr>
      </w:pPr>
    </w:p>
    <w:p w:rsidR="008D5AF9" w:rsidRPr="008D5AF9" w:rsidRDefault="008D5AF9" w:rsidP="008D5AF9">
      <w:pPr>
        <w:pStyle w:val="Ingenafstand"/>
        <w:rPr>
          <w:sz w:val="24"/>
          <w:szCs w:val="24"/>
        </w:rPr>
      </w:pPr>
      <w:r w:rsidRPr="008D5AF9">
        <w:rPr>
          <w:sz w:val="24"/>
          <w:szCs w:val="24"/>
        </w:rPr>
        <w:t>Korrespondance: Helle Kiellberg Larsen</w:t>
      </w:r>
      <w:r w:rsidRPr="008D5AF9">
        <w:rPr>
          <w:sz w:val="24"/>
          <w:szCs w:val="24"/>
        </w:rPr>
        <w:tab/>
        <w:t xml:space="preserve">hellekl@dadlnet.dk  </w:t>
      </w:r>
    </w:p>
    <w:p w:rsidR="008D5AF9" w:rsidRPr="002F6BFC" w:rsidRDefault="008D5AF9" w:rsidP="008D5AF9">
      <w:pPr>
        <w:pStyle w:val="Ingenafstand"/>
        <w:rPr>
          <w:sz w:val="24"/>
          <w:szCs w:val="24"/>
        </w:rPr>
      </w:pPr>
      <w:r w:rsidRPr="002F6BFC">
        <w:rPr>
          <w:sz w:val="24"/>
          <w:szCs w:val="24"/>
        </w:rPr>
        <w:lastRenderedPageBreak/>
        <w:t>Version 1.</w:t>
      </w:r>
      <w:r w:rsidR="00D26F02">
        <w:rPr>
          <w:sz w:val="24"/>
          <w:szCs w:val="24"/>
        </w:rPr>
        <w:t>1</w:t>
      </w:r>
      <w:r w:rsidRPr="002F6BFC">
        <w:rPr>
          <w:sz w:val="24"/>
          <w:szCs w:val="24"/>
        </w:rPr>
        <w:t>.2021</w:t>
      </w:r>
      <w:r w:rsidRPr="002F6BFC">
        <w:rPr>
          <w:rFonts w:cstheme="minorHAnsi"/>
          <w:sz w:val="24"/>
          <w:szCs w:val="24"/>
        </w:rPr>
        <w:tab/>
      </w:r>
      <w:r w:rsidRPr="002F6BFC">
        <w:rPr>
          <w:rFonts w:cstheme="minorHAnsi"/>
          <w:sz w:val="24"/>
          <w:szCs w:val="24"/>
        </w:rPr>
        <w:tab/>
      </w:r>
      <w:r w:rsidRPr="002F6BFC">
        <w:rPr>
          <w:rFonts w:cstheme="minorHAnsi"/>
          <w:sz w:val="24"/>
          <w:szCs w:val="24"/>
        </w:rPr>
        <w:tab/>
      </w:r>
      <w:r w:rsidRPr="002F6BFC">
        <w:rPr>
          <w:rFonts w:cstheme="minorHAnsi"/>
          <w:sz w:val="24"/>
          <w:szCs w:val="24"/>
        </w:rPr>
        <w:tab/>
      </w:r>
      <w:r w:rsidRPr="002F6BFC">
        <w:rPr>
          <w:rFonts w:cstheme="minorHAnsi"/>
          <w:sz w:val="24"/>
          <w:szCs w:val="24"/>
        </w:rPr>
        <w:tab/>
      </w:r>
    </w:p>
    <w:p w:rsidR="008D5AF9" w:rsidRPr="002F6BFC" w:rsidRDefault="008D5AF9" w:rsidP="008D5AF9">
      <w:pPr>
        <w:pStyle w:val="Ingenafstand"/>
        <w:rPr>
          <w:b/>
          <w:bCs/>
          <w:sz w:val="24"/>
          <w:szCs w:val="24"/>
        </w:rPr>
      </w:pPr>
    </w:p>
    <w:sdt>
      <w:sdtPr>
        <w:rPr>
          <w:rFonts w:asciiTheme="minorHAnsi" w:eastAsiaTheme="minorHAnsi" w:hAnsiTheme="minorHAnsi" w:cstheme="minorBidi"/>
          <w:color w:val="auto"/>
          <w:sz w:val="24"/>
          <w:szCs w:val="24"/>
          <w:lang w:eastAsia="en-US"/>
        </w:rPr>
        <w:id w:val="-726538535"/>
        <w:docPartObj>
          <w:docPartGallery w:val="Table of Contents"/>
          <w:docPartUnique/>
        </w:docPartObj>
      </w:sdtPr>
      <w:sdtEndPr>
        <w:rPr>
          <w:b/>
          <w:bCs/>
        </w:rPr>
      </w:sdtEndPr>
      <w:sdtContent>
        <w:p w:rsidR="008D5AF9" w:rsidRPr="005B1D59" w:rsidRDefault="008D5AF9">
          <w:pPr>
            <w:pStyle w:val="Overskrift"/>
            <w:rPr>
              <w:rFonts w:asciiTheme="minorHAnsi" w:hAnsiTheme="minorHAnsi" w:cstheme="minorHAnsi"/>
              <w:sz w:val="28"/>
              <w:szCs w:val="28"/>
            </w:rPr>
          </w:pPr>
          <w:r w:rsidRPr="005B1D59">
            <w:rPr>
              <w:rFonts w:asciiTheme="minorHAnsi" w:hAnsiTheme="minorHAnsi" w:cstheme="minorHAnsi"/>
              <w:sz w:val="28"/>
              <w:szCs w:val="28"/>
            </w:rPr>
            <w:t>Indholdsfortegnelse</w:t>
          </w:r>
        </w:p>
        <w:p w:rsidR="008D5AF9" w:rsidRPr="005B1D59" w:rsidRDefault="008D5AF9" w:rsidP="008D5AF9">
          <w:pPr>
            <w:rPr>
              <w:rFonts w:cstheme="minorHAnsi"/>
              <w:sz w:val="28"/>
              <w:szCs w:val="28"/>
              <w:lang w:eastAsia="da-DK"/>
            </w:rPr>
          </w:pPr>
        </w:p>
        <w:p w:rsidR="006E4E05" w:rsidRDefault="008D5AF9">
          <w:pPr>
            <w:pStyle w:val="Indholdsfortegnelse2"/>
            <w:tabs>
              <w:tab w:val="right" w:leader="dot" w:pos="9628"/>
            </w:tabs>
            <w:rPr>
              <w:rFonts w:eastAsiaTheme="minorEastAsia"/>
              <w:noProof/>
              <w:lang w:eastAsia="da-DK"/>
            </w:rPr>
          </w:pPr>
          <w:r w:rsidRPr="002F6BFC">
            <w:rPr>
              <w:sz w:val="24"/>
              <w:szCs w:val="24"/>
            </w:rPr>
            <w:fldChar w:fldCharType="begin"/>
          </w:r>
          <w:r w:rsidRPr="002F6BFC">
            <w:rPr>
              <w:sz w:val="24"/>
              <w:szCs w:val="24"/>
            </w:rPr>
            <w:instrText xml:space="preserve"> TOC \o "1-3" \h \z \u </w:instrText>
          </w:r>
          <w:r w:rsidRPr="002F6BFC">
            <w:rPr>
              <w:sz w:val="24"/>
              <w:szCs w:val="24"/>
            </w:rPr>
            <w:fldChar w:fldCharType="separate"/>
          </w:r>
          <w:hyperlink w:anchor="_Toc86222536" w:history="1">
            <w:r w:rsidR="006E4E05" w:rsidRPr="00193D14">
              <w:rPr>
                <w:rStyle w:val="Hyperlink"/>
                <w:rFonts w:cstheme="minorHAnsi"/>
                <w:noProof/>
              </w:rPr>
              <w:t>Baggrund</w:t>
            </w:r>
            <w:r w:rsidR="006E4E05">
              <w:rPr>
                <w:noProof/>
                <w:webHidden/>
              </w:rPr>
              <w:tab/>
            </w:r>
            <w:r w:rsidR="006E4E05">
              <w:rPr>
                <w:noProof/>
                <w:webHidden/>
              </w:rPr>
              <w:fldChar w:fldCharType="begin"/>
            </w:r>
            <w:r w:rsidR="006E4E05">
              <w:rPr>
                <w:noProof/>
                <w:webHidden/>
              </w:rPr>
              <w:instrText xml:space="preserve"> PAGEREF _Toc86222536 \h </w:instrText>
            </w:r>
            <w:r w:rsidR="006E4E05">
              <w:rPr>
                <w:noProof/>
                <w:webHidden/>
              </w:rPr>
            </w:r>
            <w:r w:rsidR="006E4E05">
              <w:rPr>
                <w:noProof/>
                <w:webHidden/>
              </w:rPr>
              <w:fldChar w:fldCharType="separate"/>
            </w:r>
            <w:r w:rsidR="006E4E05">
              <w:rPr>
                <w:noProof/>
                <w:webHidden/>
              </w:rPr>
              <w:t>3</w:t>
            </w:r>
            <w:r w:rsidR="006E4E05">
              <w:rPr>
                <w:noProof/>
                <w:webHidden/>
              </w:rPr>
              <w:fldChar w:fldCharType="end"/>
            </w:r>
          </w:hyperlink>
        </w:p>
        <w:p w:rsidR="006E4E05" w:rsidRDefault="008607AE">
          <w:pPr>
            <w:pStyle w:val="Indholdsfortegnelse2"/>
            <w:tabs>
              <w:tab w:val="right" w:leader="dot" w:pos="9628"/>
            </w:tabs>
            <w:rPr>
              <w:rFonts w:eastAsiaTheme="minorEastAsia"/>
              <w:noProof/>
              <w:lang w:eastAsia="da-DK"/>
            </w:rPr>
          </w:pPr>
          <w:hyperlink w:anchor="_Toc86222537" w:history="1">
            <w:r w:rsidR="006E4E05" w:rsidRPr="00193D14">
              <w:rPr>
                <w:rStyle w:val="Hyperlink"/>
                <w:rFonts w:cstheme="minorHAnsi"/>
                <w:noProof/>
              </w:rPr>
              <w:t>Seksuelt overførbare infektioner der giver dysuri og udflåd</w:t>
            </w:r>
            <w:r w:rsidR="006E4E05">
              <w:rPr>
                <w:noProof/>
                <w:webHidden/>
              </w:rPr>
              <w:tab/>
            </w:r>
            <w:r w:rsidR="006E4E05">
              <w:rPr>
                <w:noProof/>
                <w:webHidden/>
              </w:rPr>
              <w:fldChar w:fldCharType="begin"/>
            </w:r>
            <w:r w:rsidR="006E4E05">
              <w:rPr>
                <w:noProof/>
                <w:webHidden/>
              </w:rPr>
              <w:instrText xml:space="preserve"> PAGEREF _Toc86222537 \h </w:instrText>
            </w:r>
            <w:r w:rsidR="006E4E05">
              <w:rPr>
                <w:noProof/>
                <w:webHidden/>
              </w:rPr>
            </w:r>
            <w:r w:rsidR="006E4E05">
              <w:rPr>
                <w:noProof/>
                <w:webHidden/>
              </w:rPr>
              <w:fldChar w:fldCharType="separate"/>
            </w:r>
            <w:r w:rsidR="006E4E05">
              <w:rPr>
                <w:noProof/>
                <w:webHidden/>
              </w:rPr>
              <w:t>4</w:t>
            </w:r>
            <w:r w:rsidR="006E4E05">
              <w:rPr>
                <w:noProof/>
                <w:webHidden/>
              </w:rPr>
              <w:fldChar w:fldCharType="end"/>
            </w:r>
          </w:hyperlink>
        </w:p>
        <w:p w:rsidR="006E4E05" w:rsidRDefault="008607AE">
          <w:pPr>
            <w:pStyle w:val="Indholdsfortegnelse3"/>
            <w:tabs>
              <w:tab w:val="right" w:leader="dot" w:pos="9628"/>
            </w:tabs>
            <w:rPr>
              <w:rFonts w:eastAsiaTheme="minorEastAsia"/>
              <w:noProof/>
              <w:lang w:eastAsia="da-DK"/>
            </w:rPr>
          </w:pPr>
          <w:hyperlink w:anchor="_Toc86222538" w:history="1">
            <w:r w:rsidR="006E4E05" w:rsidRPr="00193D14">
              <w:rPr>
                <w:rStyle w:val="Hyperlink"/>
                <w:rFonts w:ascii="Calibri" w:hAnsi="Calibri" w:cs="Calibri"/>
                <w:noProof/>
              </w:rPr>
              <w:t>Gonorré</w:t>
            </w:r>
            <w:r w:rsidR="006E4E05">
              <w:rPr>
                <w:noProof/>
                <w:webHidden/>
              </w:rPr>
              <w:tab/>
            </w:r>
            <w:r w:rsidR="006E4E05">
              <w:rPr>
                <w:noProof/>
                <w:webHidden/>
              </w:rPr>
              <w:fldChar w:fldCharType="begin"/>
            </w:r>
            <w:r w:rsidR="006E4E05">
              <w:rPr>
                <w:noProof/>
                <w:webHidden/>
              </w:rPr>
              <w:instrText xml:space="preserve"> PAGEREF _Toc86222538 \h </w:instrText>
            </w:r>
            <w:r w:rsidR="006E4E05">
              <w:rPr>
                <w:noProof/>
                <w:webHidden/>
              </w:rPr>
            </w:r>
            <w:r w:rsidR="006E4E05">
              <w:rPr>
                <w:noProof/>
                <w:webHidden/>
              </w:rPr>
              <w:fldChar w:fldCharType="separate"/>
            </w:r>
            <w:r w:rsidR="006E4E05">
              <w:rPr>
                <w:noProof/>
                <w:webHidden/>
              </w:rPr>
              <w:t>4</w:t>
            </w:r>
            <w:r w:rsidR="006E4E05">
              <w:rPr>
                <w:noProof/>
                <w:webHidden/>
              </w:rPr>
              <w:fldChar w:fldCharType="end"/>
            </w:r>
          </w:hyperlink>
        </w:p>
        <w:p w:rsidR="006E4E05" w:rsidRDefault="008607AE">
          <w:pPr>
            <w:pStyle w:val="Indholdsfortegnelse3"/>
            <w:tabs>
              <w:tab w:val="right" w:leader="dot" w:pos="9628"/>
            </w:tabs>
            <w:rPr>
              <w:rFonts w:eastAsiaTheme="minorEastAsia"/>
              <w:noProof/>
              <w:lang w:eastAsia="da-DK"/>
            </w:rPr>
          </w:pPr>
          <w:hyperlink w:anchor="_Toc86222539" w:history="1">
            <w:r w:rsidR="006E4E05" w:rsidRPr="00193D14">
              <w:rPr>
                <w:rStyle w:val="Hyperlink"/>
                <w:rFonts w:ascii="Calibri" w:hAnsi="Calibri" w:cs="Calibri"/>
                <w:noProof/>
              </w:rPr>
              <w:t>Klamydia</w:t>
            </w:r>
            <w:r w:rsidR="006E4E05">
              <w:rPr>
                <w:noProof/>
                <w:webHidden/>
              </w:rPr>
              <w:tab/>
            </w:r>
            <w:r w:rsidR="006E4E05">
              <w:rPr>
                <w:noProof/>
                <w:webHidden/>
              </w:rPr>
              <w:fldChar w:fldCharType="begin"/>
            </w:r>
            <w:r w:rsidR="006E4E05">
              <w:rPr>
                <w:noProof/>
                <w:webHidden/>
              </w:rPr>
              <w:instrText xml:space="preserve"> PAGEREF _Toc86222539 \h </w:instrText>
            </w:r>
            <w:r w:rsidR="006E4E05">
              <w:rPr>
                <w:noProof/>
                <w:webHidden/>
              </w:rPr>
            </w:r>
            <w:r w:rsidR="006E4E05">
              <w:rPr>
                <w:noProof/>
                <w:webHidden/>
              </w:rPr>
              <w:fldChar w:fldCharType="separate"/>
            </w:r>
            <w:r w:rsidR="006E4E05">
              <w:rPr>
                <w:noProof/>
                <w:webHidden/>
              </w:rPr>
              <w:t>8</w:t>
            </w:r>
            <w:r w:rsidR="006E4E05">
              <w:rPr>
                <w:noProof/>
                <w:webHidden/>
              </w:rPr>
              <w:fldChar w:fldCharType="end"/>
            </w:r>
          </w:hyperlink>
        </w:p>
        <w:p w:rsidR="006E4E05" w:rsidRDefault="008607AE">
          <w:pPr>
            <w:pStyle w:val="Indholdsfortegnelse3"/>
            <w:tabs>
              <w:tab w:val="right" w:leader="dot" w:pos="9628"/>
            </w:tabs>
            <w:rPr>
              <w:rFonts w:eastAsiaTheme="minorEastAsia"/>
              <w:noProof/>
              <w:lang w:eastAsia="da-DK"/>
            </w:rPr>
          </w:pPr>
          <w:hyperlink w:anchor="_Toc86222540" w:history="1">
            <w:r w:rsidR="006E4E05" w:rsidRPr="00193D14">
              <w:rPr>
                <w:rStyle w:val="Hyperlink"/>
                <w:rFonts w:cstheme="minorHAnsi"/>
                <w:noProof/>
              </w:rPr>
              <w:t>Mycoplasma genitalium</w:t>
            </w:r>
            <w:r w:rsidR="006E4E05">
              <w:rPr>
                <w:noProof/>
                <w:webHidden/>
              </w:rPr>
              <w:tab/>
            </w:r>
            <w:r w:rsidR="006E4E05">
              <w:rPr>
                <w:noProof/>
                <w:webHidden/>
              </w:rPr>
              <w:fldChar w:fldCharType="begin"/>
            </w:r>
            <w:r w:rsidR="006E4E05">
              <w:rPr>
                <w:noProof/>
                <w:webHidden/>
              </w:rPr>
              <w:instrText xml:space="preserve"> PAGEREF _Toc86222540 \h </w:instrText>
            </w:r>
            <w:r w:rsidR="006E4E05">
              <w:rPr>
                <w:noProof/>
                <w:webHidden/>
              </w:rPr>
            </w:r>
            <w:r w:rsidR="006E4E05">
              <w:rPr>
                <w:noProof/>
                <w:webHidden/>
              </w:rPr>
              <w:fldChar w:fldCharType="separate"/>
            </w:r>
            <w:r w:rsidR="006E4E05">
              <w:rPr>
                <w:noProof/>
                <w:webHidden/>
              </w:rPr>
              <w:t>11</w:t>
            </w:r>
            <w:r w:rsidR="006E4E05">
              <w:rPr>
                <w:noProof/>
                <w:webHidden/>
              </w:rPr>
              <w:fldChar w:fldCharType="end"/>
            </w:r>
          </w:hyperlink>
        </w:p>
        <w:p w:rsidR="006E4E05" w:rsidRDefault="008607AE">
          <w:pPr>
            <w:pStyle w:val="Indholdsfortegnelse3"/>
            <w:tabs>
              <w:tab w:val="right" w:leader="dot" w:pos="9628"/>
            </w:tabs>
            <w:rPr>
              <w:rFonts w:eastAsiaTheme="minorEastAsia"/>
              <w:noProof/>
              <w:lang w:eastAsia="da-DK"/>
            </w:rPr>
          </w:pPr>
          <w:hyperlink w:anchor="_Toc86222541" w:history="1">
            <w:r w:rsidR="006E4E05" w:rsidRPr="00193D14">
              <w:rPr>
                <w:rStyle w:val="Hyperlink"/>
                <w:rFonts w:ascii="Calibri" w:hAnsi="Calibri" w:cs="Calibri"/>
                <w:noProof/>
              </w:rPr>
              <w:t>Andre årsager</w:t>
            </w:r>
            <w:r w:rsidR="006E4E05">
              <w:rPr>
                <w:noProof/>
                <w:webHidden/>
              </w:rPr>
              <w:tab/>
            </w:r>
            <w:r w:rsidR="006E4E05">
              <w:rPr>
                <w:noProof/>
                <w:webHidden/>
              </w:rPr>
              <w:fldChar w:fldCharType="begin"/>
            </w:r>
            <w:r w:rsidR="006E4E05">
              <w:rPr>
                <w:noProof/>
                <w:webHidden/>
              </w:rPr>
              <w:instrText xml:space="preserve"> PAGEREF _Toc86222541 \h </w:instrText>
            </w:r>
            <w:r w:rsidR="006E4E05">
              <w:rPr>
                <w:noProof/>
                <w:webHidden/>
              </w:rPr>
            </w:r>
            <w:r w:rsidR="006E4E05">
              <w:rPr>
                <w:noProof/>
                <w:webHidden/>
              </w:rPr>
              <w:fldChar w:fldCharType="separate"/>
            </w:r>
            <w:r w:rsidR="006E4E05">
              <w:rPr>
                <w:noProof/>
                <w:webHidden/>
              </w:rPr>
              <w:t>13</w:t>
            </w:r>
            <w:r w:rsidR="006E4E05">
              <w:rPr>
                <w:noProof/>
                <w:webHidden/>
              </w:rPr>
              <w:fldChar w:fldCharType="end"/>
            </w:r>
          </w:hyperlink>
        </w:p>
        <w:p w:rsidR="006E4E05" w:rsidRDefault="008607AE">
          <w:pPr>
            <w:pStyle w:val="Indholdsfortegnelse2"/>
            <w:tabs>
              <w:tab w:val="right" w:leader="dot" w:pos="9628"/>
            </w:tabs>
            <w:rPr>
              <w:rFonts w:eastAsiaTheme="minorEastAsia"/>
              <w:noProof/>
              <w:lang w:eastAsia="da-DK"/>
            </w:rPr>
          </w:pPr>
          <w:hyperlink w:anchor="_Toc86222542" w:history="1">
            <w:r w:rsidR="006E4E05" w:rsidRPr="00193D14">
              <w:rPr>
                <w:rStyle w:val="Hyperlink"/>
                <w:rFonts w:cstheme="minorHAnsi"/>
                <w:noProof/>
              </w:rPr>
              <w:t>Seksuelt overførbare infektioner der giver sår</w:t>
            </w:r>
            <w:r w:rsidR="006E4E05">
              <w:rPr>
                <w:noProof/>
                <w:webHidden/>
              </w:rPr>
              <w:tab/>
            </w:r>
            <w:r w:rsidR="006E4E05">
              <w:rPr>
                <w:noProof/>
                <w:webHidden/>
              </w:rPr>
              <w:fldChar w:fldCharType="begin"/>
            </w:r>
            <w:r w:rsidR="006E4E05">
              <w:rPr>
                <w:noProof/>
                <w:webHidden/>
              </w:rPr>
              <w:instrText xml:space="preserve"> PAGEREF _Toc86222542 \h </w:instrText>
            </w:r>
            <w:r w:rsidR="006E4E05">
              <w:rPr>
                <w:noProof/>
                <w:webHidden/>
              </w:rPr>
            </w:r>
            <w:r w:rsidR="006E4E05">
              <w:rPr>
                <w:noProof/>
                <w:webHidden/>
              </w:rPr>
              <w:fldChar w:fldCharType="separate"/>
            </w:r>
            <w:r w:rsidR="006E4E05">
              <w:rPr>
                <w:noProof/>
                <w:webHidden/>
              </w:rPr>
              <w:t>16</w:t>
            </w:r>
            <w:r w:rsidR="006E4E05">
              <w:rPr>
                <w:noProof/>
                <w:webHidden/>
              </w:rPr>
              <w:fldChar w:fldCharType="end"/>
            </w:r>
          </w:hyperlink>
        </w:p>
        <w:p w:rsidR="006E4E05" w:rsidRDefault="008607AE">
          <w:pPr>
            <w:pStyle w:val="Indholdsfortegnelse3"/>
            <w:tabs>
              <w:tab w:val="right" w:leader="dot" w:pos="9628"/>
            </w:tabs>
            <w:rPr>
              <w:rFonts w:eastAsiaTheme="minorEastAsia"/>
              <w:noProof/>
              <w:lang w:eastAsia="da-DK"/>
            </w:rPr>
          </w:pPr>
          <w:hyperlink w:anchor="_Toc86222543" w:history="1">
            <w:r w:rsidR="006E4E05" w:rsidRPr="00193D14">
              <w:rPr>
                <w:rStyle w:val="Hyperlink"/>
                <w:rFonts w:cstheme="minorHAnsi"/>
                <w:noProof/>
              </w:rPr>
              <w:t>Herpes genitalis</w:t>
            </w:r>
            <w:r w:rsidR="006E4E05">
              <w:rPr>
                <w:noProof/>
                <w:webHidden/>
              </w:rPr>
              <w:tab/>
            </w:r>
            <w:r w:rsidR="006E4E05">
              <w:rPr>
                <w:noProof/>
                <w:webHidden/>
              </w:rPr>
              <w:fldChar w:fldCharType="begin"/>
            </w:r>
            <w:r w:rsidR="006E4E05">
              <w:rPr>
                <w:noProof/>
                <w:webHidden/>
              </w:rPr>
              <w:instrText xml:space="preserve"> PAGEREF _Toc86222543 \h </w:instrText>
            </w:r>
            <w:r w:rsidR="006E4E05">
              <w:rPr>
                <w:noProof/>
                <w:webHidden/>
              </w:rPr>
            </w:r>
            <w:r w:rsidR="006E4E05">
              <w:rPr>
                <w:noProof/>
                <w:webHidden/>
              </w:rPr>
              <w:fldChar w:fldCharType="separate"/>
            </w:r>
            <w:r w:rsidR="006E4E05">
              <w:rPr>
                <w:noProof/>
                <w:webHidden/>
              </w:rPr>
              <w:t>17</w:t>
            </w:r>
            <w:r w:rsidR="006E4E05">
              <w:rPr>
                <w:noProof/>
                <w:webHidden/>
              </w:rPr>
              <w:fldChar w:fldCharType="end"/>
            </w:r>
          </w:hyperlink>
        </w:p>
        <w:p w:rsidR="006E4E05" w:rsidRDefault="008607AE">
          <w:pPr>
            <w:pStyle w:val="Indholdsfortegnelse3"/>
            <w:tabs>
              <w:tab w:val="right" w:leader="dot" w:pos="9628"/>
            </w:tabs>
            <w:rPr>
              <w:rFonts w:eastAsiaTheme="minorEastAsia"/>
              <w:noProof/>
              <w:lang w:eastAsia="da-DK"/>
            </w:rPr>
          </w:pPr>
          <w:hyperlink w:anchor="_Toc86222544" w:history="1">
            <w:r w:rsidR="006E4E05" w:rsidRPr="00193D14">
              <w:rPr>
                <w:rStyle w:val="Hyperlink"/>
                <w:rFonts w:cstheme="minorHAnsi"/>
                <w:noProof/>
              </w:rPr>
              <w:t>Syfilis</w:t>
            </w:r>
            <w:r w:rsidR="006E4E05">
              <w:rPr>
                <w:noProof/>
                <w:webHidden/>
              </w:rPr>
              <w:tab/>
            </w:r>
            <w:r w:rsidR="006E4E05">
              <w:rPr>
                <w:noProof/>
                <w:webHidden/>
              </w:rPr>
              <w:fldChar w:fldCharType="begin"/>
            </w:r>
            <w:r w:rsidR="006E4E05">
              <w:rPr>
                <w:noProof/>
                <w:webHidden/>
              </w:rPr>
              <w:instrText xml:space="preserve"> PAGEREF _Toc86222544 \h </w:instrText>
            </w:r>
            <w:r w:rsidR="006E4E05">
              <w:rPr>
                <w:noProof/>
                <w:webHidden/>
              </w:rPr>
            </w:r>
            <w:r w:rsidR="006E4E05">
              <w:rPr>
                <w:noProof/>
                <w:webHidden/>
              </w:rPr>
              <w:fldChar w:fldCharType="separate"/>
            </w:r>
            <w:r w:rsidR="006E4E05">
              <w:rPr>
                <w:noProof/>
                <w:webHidden/>
              </w:rPr>
              <w:t>18</w:t>
            </w:r>
            <w:r w:rsidR="006E4E05">
              <w:rPr>
                <w:noProof/>
                <w:webHidden/>
              </w:rPr>
              <w:fldChar w:fldCharType="end"/>
            </w:r>
          </w:hyperlink>
        </w:p>
        <w:p w:rsidR="006E4E05" w:rsidRDefault="008607AE">
          <w:pPr>
            <w:pStyle w:val="Indholdsfortegnelse3"/>
            <w:tabs>
              <w:tab w:val="right" w:leader="dot" w:pos="9628"/>
            </w:tabs>
            <w:rPr>
              <w:rFonts w:eastAsiaTheme="minorEastAsia"/>
              <w:noProof/>
              <w:lang w:eastAsia="da-DK"/>
            </w:rPr>
          </w:pPr>
          <w:hyperlink w:anchor="_Toc86222545" w:history="1">
            <w:r w:rsidR="006E4E05" w:rsidRPr="00193D14">
              <w:rPr>
                <w:rStyle w:val="Hyperlink"/>
                <w:noProof/>
              </w:rPr>
              <w:t>Andre årsager</w:t>
            </w:r>
            <w:r w:rsidR="006E4E05">
              <w:rPr>
                <w:noProof/>
                <w:webHidden/>
              </w:rPr>
              <w:tab/>
            </w:r>
            <w:r w:rsidR="006E4E05">
              <w:rPr>
                <w:noProof/>
                <w:webHidden/>
              </w:rPr>
              <w:fldChar w:fldCharType="begin"/>
            </w:r>
            <w:r w:rsidR="006E4E05">
              <w:rPr>
                <w:noProof/>
                <w:webHidden/>
              </w:rPr>
              <w:instrText xml:space="preserve"> PAGEREF _Toc86222545 \h </w:instrText>
            </w:r>
            <w:r w:rsidR="006E4E05">
              <w:rPr>
                <w:noProof/>
                <w:webHidden/>
              </w:rPr>
            </w:r>
            <w:r w:rsidR="006E4E05">
              <w:rPr>
                <w:noProof/>
                <w:webHidden/>
              </w:rPr>
              <w:fldChar w:fldCharType="separate"/>
            </w:r>
            <w:r w:rsidR="006E4E05">
              <w:rPr>
                <w:noProof/>
                <w:webHidden/>
              </w:rPr>
              <w:t>22</w:t>
            </w:r>
            <w:r w:rsidR="006E4E05">
              <w:rPr>
                <w:noProof/>
                <w:webHidden/>
              </w:rPr>
              <w:fldChar w:fldCharType="end"/>
            </w:r>
          </w:hyperlink>
        </w:p>
        <w:p w:rsidR="006E4E05" w:rsidRDefault="008607AE">
          <w:pPr>
            <w:pStyle w:val="Indholdsfortegnelse2"/>
            <w:tabs>
              <w:tab w:val="right" w:leader="dot" w:pos="9628"/>
            </w:tabs>
            <w:rPr>
              <w:rFonts w:eastAsiaTheme="minorEastAsia"/>
              <w:noProof/>
              <w:lang w:eastAsia="da-DK"/>
            </w:rPr>
          </w:pPr>
          <w:hyperlink w:anchor="_Toc86222546" w:history="1">
            <w:r w:rsidR="006E4E05" w:rsidRPr="00193D14">
              <w:rPr>
                <w:rStyle w:val="Hyperlink"/>
                <w:rFonts w:cstheme="minorHAnsi"/>
                <w:noProof/>
              </w:rPr>
              <w:t>Seksuelt overførbare infektioner der giver proktit</w:t>
            </w:r>
            <w:r w:rsidR="006E4E05">
              <w:rPr>
                <w:noProof/>
                <w:webHidden/>
              </w:rPr>
              <w:tab/>
            </w:r>
            <w:r w:rsidR="006E4E05">
              <w:rPr>
                <w:noProof/>
                <w:webHidden/>
              </w:rPr>
              <w:fldChar w:fldCharType="begin"/>
            </w:r>
            <w:r w:rsidR="006E4E05">
              <w:rPr>
                <w:noProof/>
                <w:webHidden/>
              </w:rPr>
              <w:instrText xml:space="preserve"> PAGEREF _Toc86222546 \h </w:instrText>
            </w:r>
            <w:r w:rsidR="006E4E05">
              <w:rPr>
                <w:noProof/>
                <w:webHidden/>
              </w:rPr>
            </w:r>
            <w:r w:rsidR="006E4E05">
              <w:rPr>
                <w:noProof/>
                <w:webHidden/>
              </w:rPr>
              <w:fldChar w:fldCharType="separate"/>
            </w:r>
            <w:r w:rsidR="006E4E05">
              <w:rPr>
                <w:noProof/>
                <w:webHidden/>
              </w:rPr>
              <w:t>24</w:t>
            </w:r>
            <w:r w:rsidR="006E4E05">
              <w:rPr>
                <w:noProof/>
                <w:webHidden/>
              </w:rPr>
              <w:fldChar w:fldCharType="end"/>
            </w:r>
          </w:hyperlink>
        </w:p>
        <w:p w:rsidR="006E4E05" w:rsidRDefault="008607AE">
          <w:pPr>
            <w:pStyle w:val="Indholdsfortegnelse2"/>
            <w:tabs>
              <w:tab w:val="right" w:leader="dot" w:pos="9628"/>
            </w:tabs>
            <w:rPr>
              <w:rFonts w:eastAsiaTheme="minorEastAsia"/>
              <w:noProof/>
              <w:lang w:eastAsia="da-DK"/>
            </w:rPr>
          </w:pPr>
          <w:hyperlink w:anchor="_Toc86222547" w:history="1">
            <w:r w:rsidR="006E4E05" w:rsidRPr="00193D14">
              <w:rPr>
                <w:rStyle w:val="Hyperlink"/>
                <w:rFonts w:cstheme="minorHAnsi"/>
                <w:noProof/>
              </w:rPr>
              <w:t>Kondylomer</w:t>
            </w:r>
            <w:r w:rsidR="006E4E05">
              <w:rPr>
                <w:noProof/>
                <w:webHidden/>
              </w:rPr>
              <w:tab/>
            </w:r>
            <w:r w:rsidR="006E4E05">
              <w:rPr>
                <w:noProof/>
                <w:webHidden/>
              </w:rPr>
              <w:fldChar w:fldCharType="begin"/>
            </w:r>
            <w:r w:rsidR="006E4E05">
              <w:rPr>
                <w:noProof/>
                <w:webHidden/>
              </w:rPr>
              <w:instrText xml:space="preserve"> PAGEREF _Toc86222547 \h </w:instrText>
            </w:r>
            <w:r w:rsidR="006E4E05">
              <w:rPr>
                <w:noProof/>
                <w:webHidden/>
              </w:rPr>
            </w:r>
            <w:r w:rsidR="006E4E05">
              <w:rPr>
                <w:noProof/>
                <w:webHidden/>
              </w:rPr>
              <w:fldChar w:fldCharType="separate"/>
            </w:r>
            <w:r w:rsidR="006E4E05">
              <w:rPr>
                <w:noProof/>
                <w:webHidden/>
              </w:rPr>
              <w:t>26</w:t>
            </w:r>
            <w:r w:rsidR="006E4E05">
              <w:rPr>
                <w:noProof/>
                <w:webHidden/>
              </w:rPr>
              <w:fldChar w:fldCharType="end"/>
            </w:r>
          </w:hyperlink>
        </w:p>
        <w:p w:rsidR="006E4E05" w:rsidRDefault="008607AE">
          <w:pPr>
            <w:pStyle w:val="Indholdsfortegnelse2"/>
            <w:tabs>
              <w:tab w:val="right" w:leader="dot" w:pos="9628"/>
            </w:tabs>
            <w:rPr>
              <w:rFonts w:eastAsiaTheme="minorEastAsia"/>
              <w:noProof/>
              <w:lang w:eastAsia="da-DK"/>
            </w:rPr>
          </w:pPr>
          <w:hyperlink w:anchor="_Toc86222548" w:history="1">
            <w:r w:rsidR="006E4E05" w:rsidRPr="00193D14">
              <w:rPr>
                <w:rStyle w:val="Hyperlink"/>
                <w:rFonts w:cstheme="minorHAnsi"/>
                <w:noProof/>
              </w:rPr>
              <w:t>Smitteopsporing og partnerbehanding</w:t>
            </w:r>
            <w:r w:rsidR="006E4E05">
              <w:rPr>
                <w:noProof/>
                <w:webHidden/>
              </w:rPr>
              <w:tab/>
            </w:r>
            <w:r w:rsidR="006E4E05">
              <w:rPr>
                <w:noProof/>
                <w:webHidden/>
              </w:rPr>
              <w:fldChar w:fldCharType="begin"/>
            </w:r>
            <w:r w:rsidR="006E4E05">
              <w:rPr>
                <w:noProof/>
                <w:webHidden/>
              </w:rPr>
              <w:instrText xml:space="preserve"> PAGEREF _Toc86222548 \h </w:instrText>
            </w:r>
            <w:r w:rsidR="006E4E05">
              <w:rPr>
                <w:noProof/>
                <w:webHidden/>
              </w:rPr>
            </w:r>
            <w:r w:rsidR="006E4E05">
              <w:rPr>
                <w:noProof/>
                <w:webHidden/>
              </w:rPr>
              <w:fldChar w:fldCharType="separate"/>
            </w:r>
            <w:r w:rsidR="006E4E05">
              <w:rPr>
                <w:noProof/>
                <w:webHidden/>
              </w:rPr>
              <w:t>33</w:t>
            </w:r>
            <w:r w:rsidR="006E4E05">
              <w:rPr>
                <w:noProof/>
                <w:webHidden/>
              </w:rPr>
              <w:fldChar w:fldCharType="end"/>
            </w:r>
          </w:hyperlink>
        </w:p>
        <w:p w:rsidR="006E4E05" w:rsidRDefault="008607AE">
          <w:pPr>
            <w:pStyle w:val="Indholdsfortegnelse2"/>
            <w:tabs>
              <w:tab w:val="right" w:leader="dot" w:pos="9628"/>
            </w:tabs>
            <w:rPr>
              <w:rFonts w:eastAsiaTheme="minorEastAsia"/>
              <w:noProof/>
              <w:lang w:eastAsia="da-DK"/>
            </w:rPr>
          </w:pPr>
          <w:hyperlink w:anchor="_Toc86222549" w:history="1">
            <w:r w:rsidR="006E4E05" w:rsidRPr="00193D14">
              <w:rPr>
                <w:rStyle w:val="Hyperlink"/>
                <w:rFonts w:cstheme="minorHAnsi"/>
                <w:noProof/>
                <w:lang w:val="en-US"/>
              </w:rPr>
              <w:t>Referencer</w:t>
            </w:r>
            <w:r w:rsidR="006E4E05">
              <w:rPr>
                <w:noProof/>
                <w:webHidden/>
              </w:rPr>
              <w:tab/>
            </w:r>
            <w:r w:rsidR="006E4E05">
              <w:rPr>
                <w:noProof/>
                <w:webHidden/>
              </w:rPr>
              <w:fldChar w:fldCharType="begin"/>
            </w:r>
            <w:r w:rsidR="006E4E05">
              <w:rPr>
                <w:noProof/>
                <w:webHidden/>
              </w:rPr>
              <w:instrText xml:space="preserve"> PAGEREF _Toc86222549 \h </w:instrText>
            </w:r>
            <w:r w:rsidR="006E4E05">
              <w:rPr>
                <w:noProof/>
                <w:webHidden/>
              </w:rPr>
            </w:r>
            <w:r w:rsidR="006E4E05">
              <w:rPr>
                <w:noProof/>
                <w:webHidden/>
              </w:rPr>
              <w:fldChar w:fldCharType="separate"/>
            </w:r>
            <w:r w:rsidR="006E4E05">
              <w:rPr>
                <w:noProof/>
                <w:webHidden/>
              </w:rPr>
              <w:t>36</w:t>
            </w:r>
            <w:r w:rsidR="006E4E05">
              <w:rPr>
                <w:noProof/>
                <w:webHidden/>
              </w:rPr>
              <w:fldChar w:fldCharType="end"/>
            </w:r>
          </w:hyperlink>
        </w:p>
        <w:p w:rsidR="008D5AF9" w:rsidRPr="002F6BFC" w:rsidRDefault="008D5AF9">
          <w:pPr>
            <w:rPr>
              <w:sz w:val="24"/>
              <w:szCs w:val="24"/>
            </w:rPr>
          </w:pPr>
          <w:r w:rsidRPr="002F6BFC">
            <w:rPr>
              <w:b/>
              <w:bCs/>
              <w:sz w:val="24"/>
              <w:szCs w:val="24"/>
            </w:rPr>
            <w:fldChar w:fldCharType="end"/>
          </w:r>
        </w:p>
      </w:sdtContent>
    </w:sdt>
    <w:p w:rsidR="008D5AF9" w:rsidRPr="002F6BFC" w:rsidRDefault="008D5AF9" w:rsidP="008D5AF9">
      <w:pPr>
        <w:pStyle w:val="Ingenafstand"/>
        <w:rPr>
          <w:b/>
          <w:bCs/>
          <w:sz w:val="24"/>
          <w:szCs w:val="24"/>
        </w:rPr>
      </w:pPr>
    </w:p>
    <w:p w:rsidR="008D5AF9" w:rsidRPr="002F6BFC" w:rsidRDefault="008D5AF9" w:rsidP="008D5AF9">
      <w:pPr>
        <w:pStyle w:val="Ingenafstand"/>
        <w:rPr>
          <w:b/>
          <w:bCs/>
          <w:sz w:val="24"/>
          <w:szCs w:val="24"/>
        </w:rPr>
      </w:pPr>
    </w:p>
    <w:p w:rsidR="008D5AF9" w:rsidRPr="002F6BFC" w:rsidRDefault="008D5AF9" w:rsidP="008D5AF9">
      <w:pPr>
        <w:pStyle w:val="Ingenafstand"/>
        <w:rPr>
          <w:b/>
          <w:bCs/>
          <w:sz w:val="24"/>
          <w:szCs w:val="24"/>
        </w:rPr>
      </w:pPr>
    </w:p>
    <w:p w:rsidR="008D5AF9" w:rsidRPr="002F6BFC" w:rsidRDefault="008D5AF9" w:rsidP="008D5AF9">
      <w:pPr>
        <w:pStyle w:val="Ingenafstand"/>
        <w:rPr>
          <w:b/>
          <w:bCs/>
          <w:sz w:val="24"/>
          <w:szCs w:val="24"/>
        </w:rPr>
      </w:pPr>
    </w:p>
    <w:p w:rsidR="008D5AF9" w:rsidRPr="002F6BFC" w:rsidRDefault="008D5AF9" w:rsidP="008D5AF9">
      <w:pPr>
        <w:pStyle w:val="Ingenafstand"/>
        <w:rPr>
          <w:b/>
          <w:bCs/>
          <w:sz w:val="24"/>
          <w:szCs w:val="24"/>
        </w:rPr>
      </w:pPr>
    </w:p>
    <w:p w:rsidR="008D5AF9" w:rsidRPr="002F6BFC" w:rsidRDefault="008D5AF9" w:rsidP="008D5AF9">
      <w:pPr>
        <w:pStyle w:val="Ingenafstand"/>
        <w:rPr>
          <w:b/>
          <w:bCs/>
          <w:sz w:val="24"/>
          <w:szCs w:val="24"/>
        </w:rPr>
      </w:pPr>
    </w:p>
    <w:p w:rsidR="008D5AF9" w:rsidRPr="002F6BFC" w:rsidRDefault="008D5AF9" w:rsidP="008D5AF9">
      <w:pPr>
        <w:pStyle w:val="Ingenafstand"/>
        <w:rPr>
          <w:b/>
          <w:bCs/>
          <w:sz w:val="24"/>
          <w:szCs w:val="24"/>
        </w:rPr>
      </w:pPr>
    </w:p>
    <w:p w:rsidR="008D5AF9" w:rsidRPr="002F6BFC" w:rsidRDefault="008D5AF9" w:rsidP="008D5AF9">
      <w:pPr>
        <w:pStyle w:val="Ingenafstand"/>
        <w:rPr>
          <w:b/>
          <w:bCs/>
          <w:sz w:val="24"/>
          <w:szCs w:val="24"/>
        </w:rPr>
      </w:pPr>
    </w:p>
    <w:p w:rsidR="008D5AF9" w:rsidRPr="002F6BFC" w:rsidRDefault="008D5AF9" w:rsidP="008D5AF9">
      <w:pPr>
        <w:pStyle w:val="Ingenafstand"/>
        <w:rPr>
          <w:b/>
          <w:bCs/>
          <w:sz w:val="24"/>
          <w:szCs w:val="24"/>
        </w:rPr>
      </w:pPr>
    </w:p>
    <w:p w:rsidR="008D5AF9" w:rsidRPr="002F6BFC" w:rsidRDefault="008D5AF9" w:rsidP="008D5AF9">
      <w:pPr>
        <w:pStyle w:val="Ingenafstand"/>
        <w:rPr>
          <w:b/>
          <w:bCs/>
          <w:sz w:val="24"/>
          <w:szCs w:val="24"/>
        </w:rPr>
      </w:pPr>
    </w:p>
    <w:p w:rsidR="008D5AF9" w:rsidRPr="002F6BFC" w:rsidRDefault="008D5AF9" w:rsidP="008D5AF9">
      <w:pPr>
        <w:pStyle w:val="Ingenafstand"/>
        <w:rPr>
          <w:b/>
          <w:bCs/>
          <w:sz w:val="24"/>
          <w:szCs w:val="24"/>
        </w:rPr>
      </w:pPr>
    </w:p>
    <w:p w:rsidR="008D5AF9" w:rsidRPr="002F6BFC" w:rsidRDefault="008D5AF9" w:rsidP="008D5AF9">
      <w:pPr>
        <w:pStyle w:val="Ingenafstand"/>
        <w:rPr>
          <w:b/>
          <w:bCs/>
          <w:sz w:val="24"/>
          <w:szCs w:val="24"/>
        </w:rPr>
      </w:pPr>
    </w:p>
    <w:p w:rsidR="008D5AF9" w:rsidRPr="002F6BFC" w:rsidRDefault="008D5AF9" w:rsidP="008D5AF9">
      <w:pPr>
        <w:pStyle w:val="Ingenafstand"/>
        <w:rPr>
          <w:b/>
          <w:bCs/>
          <w:sz w:val="24"/>
          <w:szCs w:val="24"/>
        </w:rPr>
      </w:pPr>
    </w:p>
    <w:p w:rsidR="008D5AF9" w:rsidRPr="002F6BFC" w:rsidRDefault="008D5AF9" w:rsidP="008D5AF9">
      <w:pPr>
        <w:pStyle w:val="Ingenafstand"/>
        <w:rPr>
          <w:b/>
          <w:bCs/>
          <w:sz w:val="24"/>
          <w:szCs w:val="24"/>
        </w:rPr>
      </w:pPr>
    </w:p>
    <w:p w:rsidR="008D5AF9" w:rsidRPr="002F6BFC" w:rsidRDefault="008D5AF9" w:rsidP="008D5AF9">
      <w:pPr>
        <w:pStyle w:val="Ingenafstand"/>
        <w:rPr>
          <w:b/>
          <w:bCs/>
          <w:sz w:val="24"/>
          <w:szCs w:val="24"/>
        </w:rPr>
      </w:pPr>
    </w:p>
    <w:p w:rsidR="008D5AF9" w:rsidRPr="002F6BFC" w:rsidRDefault="008D5AF9" w:rsidP="008D5AF9">
      <w:pPr>
        <w:pStyle w:val="Ingenafstand"/>
        <w:rPr>
          <w:b/>
          <w:bCs/>
          <w:sz w:val="24"/>
          <w:szCs w:val="24"/>
        </w:rPr>
      </w:pPr>
    </w:p>
    <w:p w:rsidR="008D5AF9" w:rsidRPr="002F6BFC" w:rsidRDefault="008D5AF9" w:rsidP="008D5AF9">
      <w:pPr>
        <w:pStyle w:val="Ingenafstand"/>
        <w:rPr>
          <w:b/>
          <w:bCs/>
          <w:sz w:val="24"/>
          <w:szCs w:val="24"/>
        </w:rPr>
      </w:pPr>
    </w:p>
    <w:p w:rsidR="008D5AF9" w:rsidRPr="002F6BFC" w:rsidRDefault="008D5AF9" w:rsidP="008D5AF9">
      <w:pPr>
        <w:pStyle w:val="Ingenafstand"/>
        <w:rPr>
          <w:b/>
          <w:bCs/>
          <w:sz w:val="24"/>
          <w:szCs w:val="24"/>
        </w:rPr>
      </w:pPr>
    </w:p>
    <w:p w:rsidR="008D5AF9" w:rsidRPr="002F6BFC" w:rsidRDefault="008D5AF9" w:rsidP="008D5AF9">
      <w:pPr>
        <w:pStyle w:val="Ingenafstand"/>
        <w:rPr>
          <w:b/>
          <w:bCs/>
          <w:sz w:val="24"/>
          <w:szCs w:val="24"/>
        </w:rPr>
      </w:pPr>
    </w:p>
    <w:p w:rsidR="008D5AF9" w:rsidRPr="005B1D59" w:rsidRDefault="008D5AF9" w:rsidP="008D5AF9">
      <w:pPr>
        <w:pStyle w:val="Overskrift2"/>
        <w:rPr>
          <w:rFonts w:asciiTheme="minorHAnsi" w:hAnsiTheme="minorHAnsi" w:cstheme="minorHAnsi"/>
          <w:sz w:val="28"/>
          <w:szCs w:val="28"/>
        </w:rPr>
      </w:pPr>
      <w:bookmarkStart w:id="1" w:name="_Toc86222536"/>
      <w:r w:rsidRPr="005B1D59">
        <w:rPr>
          <w:rFonts w:asciiTheme="minorHAnsi" w:hAnsiTheme="minorHAnsi" w:cstheme="minorHAnsi"/>
          <w:sz w:val="28"/>
          <w:szCs w:val="28"/>
        </w:rPr>
        <w:t>Baggrund</w:t>
      </w:r>
      <w:bookmarkEnd w:id="1"/>
    </w:p>
    <w:p w:rsidR="008D5AF9" w:rsidRPr="002F6BFC" w:rsidRDefault="008D5AF9" w:rsidP="008D5AF9">
      <w:pPr>
        <w:rPr>
          <w:sz w:val="24"/>
          <w:szCs w:val="24"/>
        </w:rPr>
      </w:pPr>
    </w:p>
    <w:p w:rsidR="008D5AF9" w:rsidRPr="002F6BFC" w:rsidRDefault="008D5AF9" w:rsidP="008D5AF9">
      <w:pPr>
        <w:shd w:val="clear" w:color="auto" w:fill="FFFFFF"/>
        <w:rPr>
          <w:rFonts w:ascii="Calibri" w:eastAsia="Times New Roman" w:hAnsi="Calibri" w:cs="Calibri"/>
          <w:color w:val="000000"/>
          <w:sz w:val="24"/>
          <w:szCs w:val="24"/>
          <w:lang w:eastAsia="da-DK"/>
        </w:rPr>
      </w:pPr>
      <w:r w:rsidRPr="002F6BFC">
        <w:rPr>
          <w:sz w:val="24"/>
          <w:szCs w:val="24"/>
        </w:rPr>
        <w:t>Oplægget til denne vejledning om seksuelt overførbare infektioner</w:t>
      </w:r>
      <w:r>
        <w:rPr>
          <w:sz w:val="24"/>
          <w:szCs w:val="24"/>
        </w:rPr>
        <w:t xml:space="preserve"> (SOI)</w:t>
      </w:r>
      <w:r w:rsidRPr="002F6BFC">
        <w:rPr>
          <w:sz w:val="24"/>
          <w:szCs w:val="24"/>
        </w:rPr>
        <w:t xml:space="preserve"> fra DDS var et ønske om en kort og praktisk anvendelig vejledning, </w:t>
      </w:r>
      <w:r w:rsidRPr="002F6BFC">
        <w:rPr>
          <w:rFonts w:ascii="Calibri" w:eastAsia="Times New Roman" w:hAnsi="Calibri" w:cs="Calibri"/>
          <w:color w:val="000000"/>
          <w:sz w:val="24"/>
          <w:szCs w:val="24"/>
          <w:lang w:eastAsia="da-DK"/>
        </w:rPr>
        <w:t>specielt</w:t>
      </w:r>
      <w:r w:rsidR="006E4E05">
        <w:rPr>
          <w:rFonts w:ascii="Calibri" w:eastAsia="Times New Roman" w:hAnsi="Calibri" w:cs="Calibri"/>
          <w:color w:val="000000"/>
          <w:sz w:val="24"/>
          <w:szCs w:val="24"/>
          <w:lang w:eastAsia="da-DK"/>
        </w:rPr>
        <w:t xml:space="preserve"> med</w:t>
      </w:r>
      <w:r w:rsidRPr="002F6BFC">
        <w:rPr>
          <w:rFonts w:ascii="Calibri" w:eastAsia="Times New Roman" w:hAnsi="Calibri" w:cs="Calibri"/>
          <w:color w:val="000000"/>
          <w:sz w:val="24"/>
          <w:szCs w:val="24"/>
          <w:lang w:eastAsia="da-DK"/>
        </w:rPr>
        <w:t xml:space="preserve"> fokus på mycoplasma, klamydia, gonorr</w:t>
      </w:r>
      <w:r>
        <w:rPr>
          <w:rFonts w:ascii="Calibri" w:eastAsia="Times New Roman" w:hAnsi="Calibri" w:cs="Calibri"/>
          <w:color w:val="000000"/>
          <w:sz w:val="24"/>
          <w:szCs w:val="24"/>
          <w:lang w:eastAsia="da-DK"/>
        </w:rPr>
        <w:t>é</w:t>
      </w:r>
      <w:r w:rsidRPr="002F6BFC">
        <w:rPr>
          <w:rFonts w:ascii="Calibri" w:eastAsia="Times New Roman" w:hAnsi="Calibri" w:cs="Calibri"/>
          <w:color w:val="000000"/>
          <w:sz w:val="24"/>
          <w:szCs w:val="24"/>
          <w:lang w:eastAsia="da-DK"/>
        </w:rPr>
        <w:t> og kondylomer. Der foreligger tidligere DDS vedledning om syfilis. DDS´</w:t>
      </w:r>
      <w:r>
        <w:rPr>
          <w:rFonts w:ascii="Calibri" w:eastAsia="Times New Roman" w:hAnsi="Calibri" w:cs="Calibri"/>
          <w:color w:val="000000"/>
          <w:sz w:val="24"/>
          <w:szCs w:val="24"/>
          <w:lang w:eastAsia="da-DK"/>
        </w:rPr>
        <w:t xml:space="preserve"> bestyrelse har</w:t>
      </w:r>
      <w:r w:rsidRPr="002F6BFC">
        <w:rPr>
          <w:rFonts w:ascii="Calibri" w:eastAsia="Times New Roman" w:hAnsi="Calibri" w:cs="Calibri"/>
          <w:color w:val="000000"/>
          <w:sz w:val="24"/>
          <w:szCs w:val="24"/>
          <w:lang w:eastAsia="da-DK"/>
        </w:rPr>
        <w:t xml:space="preserve"> ønske</w:t>
      </w:r>
      <w:r>
        <w:rPr>
          <w:rFonts w:ascii="Calibri" w:eastAsia="Times New Roman" w:hAnsi="Calibri" w:cs="Calibri"/>
          <w:color w:val="000000"/>
          <w:sz w:val="24"/>
          <w:szCs w:val="24"/>
          <w:lang w:eastAsia="da-DK"/>
        </w:rPr>
        <w:t>t,</w:t>
      </w:r>
      <w:r w:rsidRPr="002F6BFC">
        <w:rPr>
          <w:rFonts w:ascii="Calibri" w:eastAsia="Times New Roman" w:hAnsi="Calibri" w:cs="Calibri"/>
          <w:color w:val="000000"/>
          <w:sz w:val="24"/>
          <w:szCs w:val="24"/>
          <w:lang w:eastAsia="da-DK"/>
        </w:rPr>
        <w:t xml:space="preserve"> </w:t>
      </w:r>
      <w:r>
        <w:rPr>
          <w:rFonts w:ascii="Calibri" w:eastAsia="Times New Roman" w:hAnsi="Calibri" w:cs="Calibri"/>
          <w:color w:val="000000"/>
          <w:sz w:val="24"/>
          <w:szCs w:val="24"/>
          <w:lang w:eastAsia="da-DK"/>
        </w:rPr>
        <w:t xml:space="preserve">at </w:t>
      </w:r>
      <w:r w:rsidRPr="002F6BFC">
        <w:rPr>
          <w:rFonts w:ascii="Calibri" w:eastAsia="Times New Roman" w:hAnsi="Calibri" w:cs="Calibri"/>
          <w:color w:val="000000"/>
          <w:sz w:val="24"/>
          <w:szCs w:val="24"/>
          <w:lang w:eastAsia="da-DK"/>
        </w:rPr>
        <w:t xml:space="preserve">vejledningen er landsdækkende, </w:t>
      </w:r>
      <w:r>
        <w:rPr>
          <w:rFonts w:ascii="Calibri" w:eastAsia="Times New Roman" w:hAnsi="Calibri" w:cs="Calibri"/>
          <w:color w:val="000000"/>
          <w:sz w:val="24"/>
          <w:szCs w:val="24"/>
          <w:lang w:eastAsia="da-DK"/>
        </w:rPr>
        <w:t>og således gældende for</w:t>
      </w:r>
      <w:r w:rsidRPr="002F6BFC">
        <w:rPr>
          <w:rFonts w:ascii="Calibri" w:eastAsia="Times New Roman" w:hAnsi="Calibri" w:cs="Calibri"/>
          <w:color w:val="000000"/>
          <w:sz w:val="24"/>
          <w:szCs w:val="24"/>
          <w:lang w:eastAsia="da-DK"/>
        </w:rPr>
        <w:t xml:space="preserve"> </w:t>
      </w:r>
      <w:r>
        <w:rPr>
          <w:rFonts w:ascii="Calibri" w:eastAsia="Times New Roman" w:hAnsi="Calibri" w:cs="Calibri"/>
          <w:color w:val="000000"/>
          <w:sz w:val="24"/>
          <w:szCs w:val="24"/>
          <w:lang w:eastAsia="da-DK"/>
        </w:rPr>
        <w:t xml:space="preserve">både </w:t>
      </w:r>
      <w:r w:rsidRPr="002F6BFC">
        <w:rPr>
          <w:rFonts w:ascii="Calibri" w:eastAsia="Times New Roman" w:hAnsi="Calibri" w:cs="Calibri"/>
          <w:color w:val="000000"/>
          <w:sz w:val="24"/>
          <w:szCs w:val="24"/>
          <w:lang w:eastAsia="da-DK"/>
        </w:rPr>
        <w:t>speciallægepraksis og de enkelte afdelinger</w:t>
      </w:r>
      <w:r>
        <w:rPr>
          <w:rFonts w:ascii="Calibri" w:eastAsia="Times New Roman" w:hAnsi="Calibri" w:cs="Calibri"/>
          <w:color w:val="000000"/>
          <w:sz w:val="24"/>
          <w:szCs w:val="24"/>
          <w:lang w:eastAsia="da-DK"/>
        </w:rPr>
        <w:t>.</w:t>
      </w:r>
    </w:p>
    <w:p w:rsidR="008D5AF9" w:rsidRPr="002F6BFC" w:rsidRDefault="008D5AF9" w:rsidP="008D5AF9">
      <w:pPr>
        <w:rPr>
          <w:sz w:val="24"/>
          <w:szCs w:val="24"/>
        </w:rPr>
      </w:pPr>
      <w:r w:rsidRPr="002F6BFC">
        <w:rPr>
          <w:sz w:val="24"/>
          <w:szCs w:val="24"/>
        </w:rPr>
        <w:t>Vi har i arbejdet med aktuelle vejledning valgt at lægge os tæt op ad de europæiske guidelines</w:t>
      </w:r>
      <w:r>
        <w:rPr>
          <w:sz w:val="24"/>
          <w:szCs w:val="24"/>
        </w:rPr>
        <w:t xml:space="preserve"> fra The </w:t>
      </w:r>
      <w:r w:rsidRPr="002F6BFC">
        <w:rPr>
          <w:sz w:val="24"/>
          <w:szCs w:val="24"/>
        </w:rPr>
        <w:t xml:space="preserve">International Union of Sexually Transmitted Infections (IUSTI), suppleret med </w:t>
      </w:r>
      <w:r>
        <w:rPr>
          <w:sz w:val="24"/>
          <w:szCs w:val="24"/>
        </w:rPr>
        <w:t xml:space="preserve">viden fra </w:t>
      </w:r>
      <w:r w:rsidRPr="002F6BFC">
        <w:rPr>
          <w:sz w:val="24"/>
          <w:szCs w:val="24"/>
        </w:rPr>
        <w:t xml:space="preserve">nyere artikler.  </w:t>
      </w:r>
    </w:p>
    <w:p w:rsidR="008D5AF9" w:rsidRPr="002F6BFC" w:rsidRDefault="008D5AF9" w:rsidP="008D5AF9">
      <w:pPr>
        <w:rPr>
          <w:sz w:val="24"/>
          <w:szCs w:val="24"/>
        </w:rPr>
      </w:pPr>
      <w:r w:rsidRPr="002F6BFC">
        <w:rPr>
          <w:sz w:val="24"/>
          <w:szCs w:val="24"/>
        </w:rPr>
        <w:t>Vi har valgt at gøre vejledningen ”sy</w:t>
      </w:r>
      <w:r>
        <w:rPr>
          <w:sz w:val="24"/>
          <w:szCs w:val="24"/>
        </w:rPr>
        <w:t>mtom</w:t>
      </w:r>
      <w:r w:rsidRPr="002F6BFC">
        <w:rPr>
          <w:sz w:val="24"/>
          <w:szCs w:val="24"/>
        </w:rPr>
        <w:t>” orienteret ved at inddele infektionerne i de</w:t>
      </w:r>
      <w:r>
        <w:rPr>
          <w:sz w:val="24"/>
          <w:szCs w:val="24"/>
        </w:rPr>
        <w:t>m</w:t>
      </w:r>
      <w:r w:rsidRPr="002F6BFC">
        <w:rPr>
          <w:sz w:val="24"/>
          <w:szCs w:val="24"/>
        </w:rPr>
        <w:t xml:space="preserve"> som giver udflåd og dysuri, de</w:t>
      </w:r>
      <w:r w:rsidR="006E4E05">
        <w:rPr>
          <w:sz w:val="24"/>
          <w:szCs w:val="24"/>
        </w:rPr>
        <w:t>m</w:t>
      </w:r>
      <w:r w:rsidRPr="002F6BFC">
        <w:rPr>
          <w:sz w:val="24"/>
          <w:szCs w:val="24"/>
        </w:rPr>
        <w:t xml:space="preserve"> som giver sår, og de</w:t>
      </w:r>
      <w:r w:rsidR="006E4E05">
        <w:rPr>
          <w:sz w:val="24"/>
          <w:szCs w:val="24"/>
        </w:rPr>
        <w:t>m</w:t>
      </w:r>
      <w:r w:rsidRPr="002F6BFC">
        <w:rPr>
          <w:sz w:val="24"/>
          <w:szCs w:val="24"/>
        </w:rPr>
        <w:t xml:space="preserve"> som giver proktit, foruden afsnit om kondylomer</w:t>
      </w:r>
      <w:r>
        <w:rPr>
          <w:sz w:val="24"/>
          <w:szCs w:val="24"/>
        </w:rPr>
        <w:t>,</w:t>
      </w:r>
      <w:r w:rsidRPr="002F6BFC">
        <w:rPr>
          <w:sz w:val="24"/>
          <w:szCs w:val="24"/>
        </w:rPr>
        <w:t xml:space="preserve">  smitteopsporing og partnerbehandling.</w:t>
      </w:r>
    </w:p>
    <w:p w:rsidR="008D5AF9" w:rsidRPr="002F6BFC" w:rsidRDefault="008D5AF9" w:rsidP="008D5AF9">
      <w:pPr>
        <w:rPr>
          <w:sz w:val="24"/>
          <w:szCs w:val="24"/>
        </w:rPr>
      </w:pPr>
    </w:p>
    <w:p w:rsidR="008D5AF9" w:rsidRPr="002F6BFC" w:rsidRDefault="008D5AF9" w:rsidP="008D5AF9">
      <w:pPr>
        <w:rPr>
          <w:sz w:val="24"/>
          <w:szCs w:val="24"/>
        </w:rPr>
      </w:pPr>
    </w:p>
    <w:p w:rsidR="008D5AF9" w:rsidRPr="002F6BFC" w:rsidRDefault="008D5AF9" w:rsidP="008D5AF9">
      <w:pPr>
        <w:rPr>
          <w:sz w:val="24"/>
          <w:szCs w:val="24"/>
        </w:rPr>
      </w:pPr>
    </w:p>
    <w:p w:rsidR="008D5AF9" w:rsidRPr="002F6BFC" w:rsidRDefault="008D5AF9" w:rsidP="008D5AF9">
      <w:pPr>
        <w:rPr>
          <w:sz w:val="24"/>
          <w:szCs w:val="24"/>
        </w:rPr>
      </w:pPr>
    </w:p>
    <w:p w:rsidR="008D5AF9" w:rsidRPr="002F6BFC" w:rsidRDefault="008D5AF9" w:rsidP="008D5AF9">
      <w:pPr>
        <w:rPr>
          <w:sz w:val="24"/>
          <w:szCs w:val="24"/>
        </w:rPr>
      </w:pPr>
    </w:p>
    <w:p w:rsidR="008D5AF9" w:rsidRPr="002F6BFC" w:rsidRDefault="008D5AF9" w:rsidP="008D5AF9">
      <w:pPr>
        <w:rPr>
          <w:sz w:val="24"/>
          <w:szCs w:val="24"/>
        </w:rPr>
      </w:pPr>
    </w:p>
    <w:p w:rsidR="008D5AF9" w:rsidRDefault="008D5AF9" w:rsidP="008D5AF9">
      <w:pPr>
        <w:pStyle w:val="Overskrift2"/>
        <w:rPr>
          <w:rFonts w:asciiTheme="minorHAnsi" w:hAnsiTheme="minorHAnsi" w:cstheme="minorHAnsi"/>
          <w:sz w:val="28"/>
          <w:szCs w:val="28"/>
        </w:rPr>
      </w:pPr>
    </w:p>
    <w:p w:rsidR="008D5AF9" w:rsidRDefault="008D5AF9" w:rsidP="008D5AF9"/>
    <w:p w:rsidR="008D5AF9" w:rsidRDefault="008D5AF9" w:rsidP="008D5AF9"/>
    <w:p w:rsidR="008D5AF9" w:rsidRDefault="008D5AF9" w:rsidP="008D5AF9"/>
    <w:p w:rsidR="008D5AF9" w:rsidRDefault="008D5AF9" w:rsidP="008D5AF9"/>
    <w:p w:rsidR="008D5AF9" w:rsidRDefault="008D5AF9" w:rsidP="008D5AF9"/>
    <w:p w:rsidR="008D5AF9" w:rsidRPr="008D5AF9" w:rsidRDefault="008D5AF9" w:rsidP="008D5AF9"/>
    <w:p w:rsidR="008D5AF9" w:rsidRDefault="008D5AF9" w:rsidP="008D5AF9">
      <w:pPr>
        <w:pStyle w:val="Overskrift2"/>
        <w:rPr>
          <w:rFonts w:asciiTheme="minorHAnsi" w:hAnsiTheme="minorHAnsi" w:cstheme="minorHAnsi"/>
          <w:sz w:val="28"/>
          <w:szCs w:val="28"/>
        </w:rPr>
      </w:pPr>
    </w:p>
    <w:p w:rsidR="008D5AF9" w:rsidRDefault="008D5AF9" w:rsidP="008D5AF9">
      <w:pPr>
        <w:pStyle w:val="Overskrift2"/>
        <w:rPr>
          <w:rFonts w:asciiTheme="minorHAnsi" w:hAnsiTheme="minorHAnsi" w:cstheme="minorHAnsi"/>
          <w:sz w:val="28"/>
          <w:szCs w:val="28"/>
        </w:rPr>
      </w:pPr>
    </w:p>
    <w:p w:rsidR="008D5AF9" w:rsidRPr="00F22B7F" w:rsidRDefault="008D5AF9" w:rsidP="008D5AF9">
      <w:pPr>
        <w:pStyle w:val="Overskrift2"/>
        <w:rPr>
          <w:rFonts w:asciiTheme="minorHAnsi" w:hAnsiTheme="minorHAnsi" w:cstheme="minorHAnsi"/>
          <w:sz w:val="28"/>
          <w:szCs w:val="28"/>
        </w:rPr>
      </w:pPr>
      <w:bookmarkStart w:id="2" w:name="_Toc86222537"/>
      <w:r w:rsidRPr="00F22B7F">
        <w:rPr>
          <w:rFonts w:asciiTheme="minorHAnsi" w:hAnsiTheme="minorHAnsi" w:cstheme="minorHAnsi"/>
          <w:sz w:val="28"/>
          <w:szCs w:val="28"/>
        </w:rPr>
        <w:t>Seksuelt overførbare infektioner der giver dysuri og udflåd</w:t>
      </w:r>
      <w:bookmarkEnd w:id="2"/>
    </w:p>
    <w:p w:rsidR="008D5AF9" w:rsidRPr="002F6BFC" w:rsidRDefault="008D5AF9" w:rsidP="008D5AF9">
      <w:pPr>
        <w:rPr>
          <w:sz w:val="24"/>
          <w:szCs w:val="24"/>
        </w:rPr>
      </w:pPr>
    </w:p>
    <w:p w:rsidR="008D5AF9" w:rsidRPr="005B1D59" w:rsidRDefault="008D5AF9" w:rsidP="008D5AF9">
      <w:pPr>
        <w:pStyle w:val="Overskrift3"/>
        <w:rPr>
          <w:rFonts w:ascii="Calibri" w:hAnsi="Calibri" w:cs="Calibri"/>
          <w:sz w:val="28"/>
          <w:szCs w:val="28"/>
        </w:rPr>
      </w:pPr>
      <w:bookmarkStart w:id="3" w:name="_Toc86222538"/>
      <w:r w:rsidRPr="005B1D59">
        <w:rPr>
          <w:rFonts w:ascii="Calibri" w:hAnsi="Calibri" w:cs="Calibri"/>
          <w:sz w:val="28"/>
          <w:szCs w:val="28"/>
        </w:rPr>
        <w:t>Gonorré</w:t>
      </w:r>
      <w:bookmarkEnd w:id="3"/>
    </w:p>
    <w:p w:rsidR="008D5AF9" w:rsidRPr="002F6BFC" w:rsidRDefault="008D5AF9" w:rsidP="008D5AF9">
      <w:pPr>
        <w:pStyle w:val="Ingenafstand"/>
        <w:rPr>
          <w:i/>
          <w:iCs/>
          <w:sz w:val="24"/>
          <w:szCs w:val="24"/>
        </w:rPr>
      </w:pPr>
      <w:r w:rsidRPr="002F6BFC">
        <w:rPr>
          <w:sz w:val="24"/>
          <w:szCs w:val="24"/>
        </w:rPr>
        <w:tab/>
      </w:r>
    </w:p>
    <w:p w:rsidR="008D5AF9" w:rsidRDefault="008D5AF9" w:rsidP="008D5AF9">
      <w:pPr>
        <w:pStyle w:val="Ingenafstand"/>
        <w:rPr>
          <w:b/>
          <w:bCs/>
          <w:sz w:val="24"/>
          <w:szCs w:val="24"/>
        </w:rPr>
      </w:pPr>
      <w:r w:rsidRPr="003E1F62">
        <w:rPr>
          <w:b/>
          <w:bCs/>
          <w:sz w:val="24"/>
          <w:szCs w:val="24"/>
        </w:rPr>
        <w:t xml:space="preserve">Baggrund og epidemiologi </w:t>
      </w:r>
    </w:p>
    <w:p w:rsidR="008D5AF9" w:rsidRPr="002F6BFC" w:rsidRDefault="008D5AF9" w:rsidP="008D5AF9">
      <w:pPr>
        <w:pStyle w:val="Ingenafstand"/>
        <w:rPr>
          <w:sz w:val="24"/>
          <w:szCs w:val="24"/>
        </w:rPr>
      </w:pPr>
    </w:p>
    <w:p w:rsidR="008D5AF9" w:rsidRPr="002F6BFC" w:rsidRDefault="008D5AF9" w:rsidP="008D5AF9">
      <w:pPr>
        <w:rPr>
          <w:rFonts w:cstheme="minorHAnsi"/>
          <w:sz w:val="24"/>
          <w:szCs w:val="24"/>
        </w:rPr>
      </w:pPr>
      <w:r w:rsidRPr="002F6BFC">
        <w:rPr>
          <w:rFonts w:eastAsia="Times New Roman" w:cstheme="minorHAnsi"/>
          <w:color w:val="000000"/>
          <w:sz w:val="24"/>
          <w:szCs w:val="24"/>
          <w:lang w:eastAsia="da-DK"/>
        </w:rPr>
        <w:t xml:space="preserve">Gonorré er efter klamydia den 2. hyppigste </w:t>
      </w:r>
      <w:r w:rsidR="006E4E05">
        <w:rPr>
          <w:rFonts w:eastAsia="Times New Roman" w:cstheme="minorHAnsi"/>
          <w:color w:val="000000"/>
          <w:sz w:val="24"/>
          <w:szCs w:val="24"/>
          <w:lang w:eastAsia="da-DK"/>
        </w:rPr>
        <w:t>bakterielle SOI</w:t>
      </w:r>
      <w:r w:rsidRPr="002F6BFC">
        <w:rPr>
          <w:rFonts w:eastAsia="Times New Roman" w:cstheme="minorHAnsi"/>
          <w:color w:val="000000"/>
          <w:sz w:val="24"/>
          <w:szCs w:val="24"/>
          <w:lang w:eastAsia="da-DK"/>
        </w:rPr>
        <w:t xml:space="preserve"> i Europa, forårsaget af den obligat humane gram negative bakterie </w:t>
      </w:r>
      <w:r w:rsidRPr="002F6BFC">
        <w:rPr>
          <w:rFonts w:eastAsia="Times New Roman" w:cstheme="minorHAnsi"/>
          <w:i/>
          <w:iCs/>
          <w:color w:val="000000"/>
          <w:sz w:val="24"/>
          <w:szCs w:val="24"/>
          <w:lang w:eastAsia="da-DK"/>
        </w:rPr>
        <w:t>Neisseria gonorrhoeae</w:t>
      </w:r>
      <w:r>
        <w:rPr>
          <w:rFonts w:cstheme="minorHAnsi"/>
          <w:sz w:val="24"/>
          <w:szCs w:val="24"/>
        </w:rPr>
        <w:t xml:space="preserve"> </w:t>
      </w:r>
      <w:r>
        <w:rPr>
          <w:rFonts w:cstheme="minorHAnsi"/>
          <w:noProof/>
          <w:sz w:val="24"/>
          <w:szCs w:val="24"/>
        </w:rPr>
        <w:t>(1)</w:t>
      </w:r>
      <w:r>
        <w:rPr>
          <w:rFonts w:cstheme="minorHAnsi"/>
          <w:sz w:val="24"/>
          <w:szCs w:val="24"/>
        </w:rPr>
        <w:t>.</w:t>
      </w:r>
    </w:p>
    <w:p w:rsidR="008D5AF9" w:rsidRPr="002F6BFC" w:rsidRDefault="008D5AF9" w:rsidP="008D5AF9">
      <w:pPr>
        <w:rPr>
          <w:rFonts w:eastAsia="Times New Roman" w:cstheme="minorHAnsi"/>
          <w:color w:val="000000"/>
          <w:sz w:val="24"/>
          <w:szCs w:val="24"/>
          <w:lang w:eastAsia="da-DK"/>
        </w:rPr>
      </w:pPr>
      <w:r w:rsidRPr="002F6BFC">
        <w:rPr>
          <w:rFonts w:eastAsia="Times New Roman" w:cstheme="minorHAnsi"/>
          <w:color w:val="000000"/>
          <w:sz w:val="24"/>
          <w:szCs w:val="24"/>
          <w:lang w:eastAsia="da-DK"/>
        </w:rPr>
        <w:t>Incidensen er stigende i Europa, især bland</w:t>
      </w:r>
      <w:r>
        <w:rPr>
          <w:rFonts w:eastAsia="Times New Roman" w:cstheme="minorHAnsi"/>
          <w:color w:val="000000"/>
          <w:sz w:val="24"/>
          <w:szCs w:val="24"/>
          <w:lang w:eastAsia="da-DK"/>
        </w:rPr>
        <w:t>t</w:t>
      </w:r>
      <w:r w:rsidRPr="002F6BFC">
        <w:rPr>
          <w:rFonts w:eastAsia="Times New Roman" w:cstheme="minorHAnsi"/>
          <w:color w:val="000000"/>
          <w:sz w:val="24"/>
          <w:szCs w:val="24"/>
          <w:lang w:eastAsia="da-DK"/>
        </w:rPr>
        <w:t xml:space="preserve"> kvinder og </w:t>
      </w:r>
      <w:r>
        <w:rPr>
          <w:rFonts w:eastAsia="Times New Roman" w:cstheme="minorHAnsi"/>
          <w:color w:val="000000"/>
          <w:sz w:val="24"/>
          <w:szCs w:val="24"/>
          <w:lang w:eastAsia="da-DK"/>
        </w:rPr>
        <w:t>mænd, der har sex med mænd (</w:t>
      </w:r>
      <w:r w:rsidRPr="002F6BFC">
        <w:rPr>
          <w:rFonts w:eastAsia="Times New Roman" w:cstheme="minorHAnsi"/>
          <w:color w:val="000000"/>
          <w:sz w:val="24"/>
          <w:szCs w:val="24"/>
          <w:lang w:eastAsia="da-DK"/>
        </w:rPr>
        <w:t>MSM</w:t>
      </w:r>
      <w:r>
        <w:rPr>
          <w:rFonts w:eastAsia="Times New Roman" w:cstheme="minorHAnsi"/>
          <w:color w:val="000000"/>
          <w:sz w:val="24"/>
          <w:szCs w:val="24"/>
          <w:lang w:eastAsia="da-DK"/>
        </w:rPr>
        <w:t>),</w:t>
      </w:r>
      <w:r w:rsidRPr="002F6BFC">
        <w:rPr>
          <w:rFonts w:eastAsia="Times New Roman" w:cstheme="minorHAnsi"/>
          <w:color w:val="000000"/>
          <w:sz w:val="24"/>
          <w:szCs w:val="24"/>
          <w:lang w:eastAsia="da-DK"/>
        </w:rPr>
        <w:t xml:space="preserve"> (1)</w:t>
      </w:r>
      <w:r>
        <w:rPr>
          <w:rFonts w:eastAsia="Times New Roman" w:cstheme="minorHAnsi"/>
          <w:color w:val="000000"/>
          <w:sz w:val="24"/>
          <w:szCs w:val="24"/>
          <w:lang w:eastAsia="da-DK"/>
        </w:rPr>
        <w:t>.</w:t>
      </w:r>
      <w:r w:rsidRPr="002F6BFC">
        <w:rPr>
          <w:rFonts w:eastAsia="Times New Roman" w:cstheme="minorHAnsi"/>
          <w:color w:val="000000"/>
          <w:sz w:val="24"/>
          <w:szCs w:val="24"/>
          <w:lang w:eastAsia="da-DK"/>
        </w:rPr>
        <w:t xml:space="preserve"> </w:t>
      </w:r>
      <w:r>
        <w:rPr>
          <w:rFonts w:eastAsia="Times New Roman" w:cstheme="minorHAnsi"/>
          <w:color w:val="000000"/>
          <w:sz w:val="24"/>
          <w:szCs w:val="24"/>
          <w:lang w:eastAsia="da-DK"/>
        </w:rPr>
        <w:t>I</w:t>
      </w:r>
      <w:r w:rsidRPr="002F6BFC">
        <w:rPr>
          <w:rFonts w:eastAsia="Times New Roman" w:cstheme="minorHAnsi"/>
          <w:color w:val="000000"/>
          <w:sz w:val="24"/>
          <w:szCs w:val="24"/>
          <w:lang w:eastAsia="da-DK"/>
        </w:rPr>
        <w:t xml:space="preserve"> Danmark</w:t>
      </w:r>
      <w:r>
        <w:rPr>
          <w:rFonts w:eastAsia="Times New Roman" w:cstheme="minorHAnsi"/>
          <w:color w:val="000000"/>
          <w:sz w:val="24"/>
          <w:szCs w:val="24"/>
          <w:lang w:eastAsia="da-DK"/>
        </w:rPr>
        <w:t xml:space="preserve"> blev der</w:t>
      </w:r>
      <w:r w:rsidRPr="002F6BFC">
        <w:rPr>
          <w:rFonts w:eastAsia="Times New Roman" w:cstheme="minorHAnsi"/>
          <w:color w:val="000000"/>
          <w:sz w:val="24"/>
          <w:szCs w:val="24"/>
          <w:lang w:eastAsia="da-DK"/>
        </w:rPr>
        <w:t xml:space="preserve"> i 2018 rapporteret 3</w:t>
      </w:r>
      <w:r>
        <w:rPr>
          <w:rFonts w:eastAsia="Times New Roman" w:cstheme="minorHAnsi"/>
          <w:color w:val="000000"/>
          <w:sz w:val="24"/>
          <w:szCs w:val="24"/>
          <w:lang w:eastAsia="da-DK"/>
        </w:rPr>
        <w:t>.</w:t>
      </w:r>
      <w:r w:rsidRPr="002F6BFC">
        <w:rPr>
          <w:rFonts w:eastAsia="Times New Roman" w:cstheme="minorHAnsi"/>
          <w:color w:val="000000"/>
          <w:sz w:val="24"/>
          <w:szCs w:val="24"/>
          <w:lang w:eastAsia="da-DK"/>
        </w:rPr>
        <w:t>251</w:t>
      </w:r>
      <w:r>
        <w:rPr>
          <w:rFonts w:eastAsia="Times New Roman" w:cstheme="minorHAnsi"/>
          <w:color w:val="000000"/>
          <w:sz w:val="24"/>
          <w:szCs w:val="24"/>
          <w:lang w:eastAsia="da-DK"/>
        </w:rPr>
        <w:t xml:space="preserve"> nydiagnosticerede</w:t>
      </w:r>
      <w:r w:rsidRPr="002F6BFC">
        <w:rPr>
          <w:rFonts w:eastAsia="Times New Roman" w:cstheme="minorHAnsi"/>
          <w:color w:val="000000"/>
          <w:sz w:val="24"/>
          <w:szCs w:val="24"/>
          <w:lang w:eastAsia="da-DK"/>
        </w:rPr>
        <w:t xml:space="preserve"> tilfælde, heraf 62% hos mænd.</w:t>
      </w:r>
      <w:r w:rsidRPr="002F6BFC">
        <w:rPr>
          <w:rFonts w:eastAsia="Times New Roman" w:cstheme="minorHAnsi"/>
          <w:color w:val="000000"/>
          <w:sz w:val="24"/>
          <w:szCs w:val="24"/>
          <w:shd w:val="clear" w:color="auto" w:fill="FFFFFF"/>
          <w:lang w:eastAsia="da-DK"/>
        </w:rPr>
        <w:t> </w:t>
      </w:r>
      <w:r>
        <w:rPr>
          <w:rFonts w:eastAsia="Times New Roman" w:cstheme="minorHAnsi"/>
          <w:color w:val="000000"/>
          <w:sz w:val="24"/>
          <w:szCs w:val="24"/>
          <w:shd w:val="clear" w:color="auto" w:fill="FFFFFF"/>
          <w:lang w:eastAsia="da-DK"/>
        </w:rPr>
        <w:t xml:space="preserve">Blandt de anmeldte tilfælde var </w:t>
      </w:r>
      <w:r w:rsidRPr="002F6BFC">
        <w:rPr>
          <w:rFonts w:eastAsia="Times New Roman" w:cstheme="minorHAnsi"/>
          <w:color w:val="000000"/>
          <w:sz w:val="24"/>
          <w:szCs w:val="24"/>
          <w:shd w:val="clear" w:color="auto" w:fill="FFFFFF"/>
          <w:lang w:eastAsia="da-DK"/>
        </w:rPr>
        <w:t>43% af mændene smittet af mænd, og 20%</w:t>
      </w:r>
      <w:r>
        <w:rPr>
          <w:rFonts w:eastAsia="Times New Roman" w:cstheme="minorHAnsi"/>
          <w:color w:val="000000"/>
          <w:sz w:val="24"/>
          <w:szCs w:val="24"/>
          <w:shd w:val="clear" w:color="auto" w:fill="FFFFFF"/>
          <w:lang w:eastAsia="da-DK"/>
        </w:rPr>
        <w:t xml:space="preserve"> af MSM var</w:t>
      </w:r>
      <w:r w:rsidRPr="002F6BFC">
        <w:rPr>
          <w:rFonts w:eastAsia="Times New Roman" w:cstheme="minorHAnsi"/>
          <w:color w:val="000000"/>
          <w:sz w:val="24"/>
          <w:szCs w:val="24"/>
          <w:shd w:val="clear" w:color="auto" w:fill="FFFFFF"/>
          <w:lang w:eastAsia="da-DK"/>
        </w:rPr>
        <w:t xml:space="preserve"> hiv-positive</w:t>
      </w:r>
      <w:r>
        <w:rPr>
          <w:rFonts w:eastAsia="Times New Roman" w:cstheme="minorHAnsi"/>
          <w:color w:val="000000"/>
          <w:sz w:val="24"/>
          <w:szCs w:val="24"/>
          <w:shd w:val="clear" w:color="auto" w:fill="FFFFFF"/>
          <w:lang w:eastAsia="da-DK"/>
        </w:rPr>
        <w:t xml:space="preserve"> </w:t>
      </w:r>
      <w:r>
        <w:rPr>
          <w:rFonts w:eastAsia="Times New Roman" w:cstheme="minorHAnsi"/>
          <w:noProof/>
          <w:color w:val="000000"/>
          <w:sz w:val="24"/>
          <w:szCs w:val="24"/>
          <w:shd w:val="clear" w:color="auto" w:fill="FFFFFF"/>
          <w:lang w:eastAsia="da-DK"/>
        </w:rPr>
        <w:t>(2)</w:t>
      </w:r>
      <w:r>
        <w:rPr>
          <w:rFonts w:eastAsia="Times New Roman" w:cstheme="minorHAnsi"/>
          <w:color w:val="000000"/>
          <w:sz w:val="24"/>
          <w:szCs w:val="24"/>
          <w:shd w:val="clear" w:color="auto" w:fill="FFFFFF"/>
          <w:lang w:eastAsia="da-DK"/>
        </w:rPr>
        <w:t>.</w:t>
      </w:r>
    </w:p>
    <w:p w:rsidR="008D5AF9" w:rsidRPr="002F6BFC" w:rsidRDefault="008D5AF9" w:rsidP="008D5AF9">
      <w:pPr>
        <w:rPr>
          <w:rFonts w:eastAsia="Times New Roman" w:cstheme="minorHAnsi"/>
          <w:color w:val="000000"/>
          <w:sz w:val="24"/>
          <w:szCs w:val="24"/>
          <w:lang w:eastAsia="da-DK"/>
        </w:rPr>
      </w:pPr>
      <w:r w:rsidRPr="002F6BFC">
        <w:rPr>
          <w:rFonts w:eastAsia="Times New Roman" w:cstheme="minorHAnsi"/>
          <w:sz w:val="24"/>
          <w:szCs w:val="24"/>
          <w:lang w:eastAsia="da-DK"/>
        </w:rPr>
        <w:t>Bakterien inficerer cylinderepithelet i uretra, endocervix, re</w:t>
      </w:r>
      <w:r>
        <w:rPr>
          <w:rFonts w:eastAsia="Times New Roman" w:cstheme="minorHAnsi"/>
          <w:sz w:val="24"/>
          <w:szCs w:val="24"/>
          <w:lang w:eastAsia="da-DK"/>
        </w:rPr>
        <w:t>k</w:t>
      </w:r>
      <w:r w:rsidRPr="002F6BFC">
        <w:rPr>
          <w:rFonts w:eastAsia="Times New Roman" w:cstheme="minorHAnsi"/>
          <w:sz w:val="24"/>
          <w:szCs w:val="24"/>
          <w:lang w:eastAsia="da-DK"/>
        </w:rPr>
        <w:t>tum, oro</w:t>
      </w:r>
      <w:r>
        <w:rPr>
          <w:rFonts w:eastAsia="Times New Roman" w:cstheme="minorHAnsi"/>
          <w:sz w:val="24"/>
          <w:szCs w:val="24"/>
          <w:lang w:eastAsia="da-DK"/>
        </w:rPr>
        <w:t>fary</w:t>
      </w:r>
      <w:r w:rsidRPr="002F6BFC">
        <w:rPr>
          <w:rFonts w:eastAsia="Times New Roman" w:cstheme="minorHAnsi"/>
          <w:sz w:val="24"/>
          <w:szCs w:val="24"/>
          <w:lang w:eastAsia="da-DK"/>
        </w:rPr>
        <w:t xml:space="preserve">nx og </w:t>
      </w:r>
      <w:r>
        <w:rPr>
          <w:rFonts w:eastAsia="Times New Roman" w:cstheme="minorHAnsi"/>
          <w:sz w:val="24"/>
          <w:szCs w:val="24"/>
          <w:lang w:eastAsia="da-DK"/>
        </w:rPr>
        <w:t>k</w:t>
      </w:r>
      <w:r w:rsidRPr="002F6BFC">
        <w:rPr>
          <w:rFonts w:eastAsia="Times New Roman" w:cstheme="minorHAnsi"/>
          <w:sz w:val="24"/>
          <w:szCs w:val="24"/>
          <w:lang w:eastAsia="da-DK"/>
        </w:rPr>
        <w:t>onjun</w:t>
      </w:r>
      <w:r>
        <w:rPr>
          <w:rFonts w:eastAsia="Times New Roman" w:cstheme="minorHAnsi"/>
          <w:sz w:val="24"/>
          <w:szCs w:val="24"/>
          <w:lang w:eastAsia="da-DK"/>
        </w:rPr>
        <w:t>kt</w:t>
      </w:r>
      <w:r w:rsidRPr="002F6BFC">
        <w:rPr>
          <w:rFonts w:eastAsia="Times New Roman" w:cstheme="minorHAnsi"/>
          <w:sz w:val="24"/>
          <w:szCs w:val="24"/>
          <w:lang w:eastAsia="da-DK"/>
        </w:rPr>
        <w:t>iva, me</w:t>
      </w:r>
      <w:r>
        <w:rPr>
          <w:rFonts w:eastAsia="Times New Roman" w:cstheme="minorHAnsi"/>
          <w:sz w:val="24"/>
          <w:szCs w:val="24"/>
          <w:lang w:eastAsia="da-DK"/>
        </w:rPr>
        <w:t>d</w:t>
      </w:r>
      <w:r w:rsidRPr="002F6BFC">
        <w:rPr>
          <w:rFonts w:eastAsia="Times New Roman" w:cstheme="minorHAnsi"/>
          <w:sz w:val="24"/>
          <w:szCs w:val="24"/>
          <w:lang w:eastAsia="da-DK"/>
        </w:rPr>
        <w:t xml:space="preserve"> </w:t>
      </w:r>
      <w:r>
        <w:rPr>
          <w:rFonts w:eastAsia="Times New Roman" w:cstheme="minorHAnsi"/>
          <w:sz w:val="24"/>
          <w:szCs w:val="24"/>
          <w:lang w:eastAsia="da-DK"/>
        </w:rPr>
        <w:t>risiko for</w:t>
      </w:r>
      <w:r w:rsidRPr="002F6BFC">
        <w:rPr>
          <w:rFonts w:eastAsia="Times New Roman" w:cstheme="minorHAnsi"/>
          <w:sz w:val="24"/>
          <w:szCs w:val="24"/>
          <w:lang w:eastAsia="da-DK"/>
        </w:rPr>
        <w:t xml:space="preserve"> ascendere</w:t>
      </w:r>
      <w:r>
        <w:rPr>
          <w:rFonts w:eastAsia="Times New Roman" w:cstheme="minorHAnsi"/>
          <w:sz w:val="24"/>
          <w:szCs w:val="24"/>
          <w:lang w:eastAsia="da-DK"/>
        </w:rPr>
        <w:t>n</w:t>
      </w:r>
      <w:r w:rsidR="006E4E05">
        <w:rPr>
          <w:rFonts w:eastAsia="Times New Roman" w:cstheme="minorHAnsi"/>
          <w:sz w:val="24"/>
          <w:szCs w:val="24"/>
          <w:lang w:eastAsia="da-DK"/>
        </w:rPr>
        <w:t>d</w:t>
      </w:r>
      <w:r>
        <w:rPr>
          <w:rFonts w:eastAsia="Times New Roman" w:cstheme="minorHAnsi"/>
          <w:sz w:val="24"/>
          <w:szCs w:val="24"/>
          <w:lang w:eastAsia="da-DK"/>
        </w:rPr>
        <w:t>e infektion, såsom</w:t>
      </w:r>
      <w:r w:rsidRPr="002F6BFC">
        <w:rPr>
          <w:rFonts w:eastAsia="Times New Roman" w:cstheme="minorHAnsi"/>
          <w:sz w:val="24"/>
          <w:szCs w:val="24"/>
          <w:lang w:eastAsia="da-DK"/>
        </w:rPr>
        <w:t xml:space="preserve"> </w:t>
      </w:r>
      <w:r w:rsidRPr="002F6BFC">
        <w:rPr>
          <w:rFonts w:eastAsia="Times New Roman" w:cstheme="minorHAnsi"/>
          <w:color w:val="000000"/>
          <w:sz w:val="24"/>
          <w:szCs w:val="24"/>
          <w:lang w:eastAsia="da-DK"/>
        </w:rPr>
        <w:t xml:space="preserve">epididymit eller salpingit. Infektionen kan ligeledes i sjældne tilfælde medføre systemisk infektion med </w:t>
      </w:r>
      <w:r>
        <w:rPr>
          <w:rFonts w:eastAsia="Times New Roman" w:cstheme="minorHAnsi"/>
          <w:color w:val="000000"/>
          <w:sz w:val="24"/>
          <w:szCs w:val="24"/>
          <w:lang w:eastAsia="da-DK"/>
        </w:rPr>
        <w:t>bakteriæmi</w:t>
      </w:r>
      <w:r w:rsidRPr="002F6BFC">
        <w:rPr>
          <w:rFonts w:eastAsia="Times New Roman" w:cstheme="minorHAnsi"/>
          <w:color w:val="000000"/>
          <w:sz w:val="24"/>
          <w:szCs w:val="24"/>
          <w:lang w:eastAsia="da-DK"/>
        </w:rPr>
        <w:t xml:space="preserve"> og artrit.</w:t>
      </w:r>
    </w:p>
    <w:p w:rsidR="008D5AF9" w:rsidRPr="002F6BFC" w:rsidRDefault="008D5AF9" w:rsidP="008D5AF9">
      <w:pPr>
        <w:rPr>
          <w:rFonts w:eastAsia="Times New Roman" w:cstheme="minorHAnsi"/>
          <w:color w:val="000000"/>
          <w:sz w:val="24"/>
          <w:szCs w:val="24"/>
          <w:lang w:eastAsia="da-DK"/>
        </w:rPr>
      </w:pPr>
      <w:r w:rsidRPr="002F6BFC">
        <w:rPr>
          <w:rFonts w:eastAsia="Times New Roman" w:cstheme="minorHAnsi"/>
          <w:color w:val="000000"/>
          <w:sz w:val="24"/>
          <w:szCs w:val="24"/>
          <w:lang w:eastAsia="da-DK"/>
        </w:rPr>
        <w:t>Transmission sker ved direkte slimhindekontakt såsom samleje enten fra infektionsfokus ano-genitalt eller i farynx, men tilstanden kan også overføres fra mor til barn ved fødslen.</w:t>
      </w:r>
    </w:p>
    <w:p w:rsidR="008D5AF9" w:rsidRPr="002F6BFC" w:rsidRDefault="008D5AF9" w:rsidP="008D5AF9">
      <w:pPr>
        <w:rPr>
          <w:rFonts w:cstheme="minorHAnsi"/>
          <w:b/>
          <w:bCs/>
          <w:sz w:val="24"/>
          <w:szCs w:val="24"/>
        </w:rPr>
      </w:pPr>
      <w:r w:rsidRPr="002F6BFC">
        <w:rPr>
          <w:rFonts w:cstheme="minorHAnsi"/>
          <w:b/>
          <w:bCs/>
          <w:sz w:val="24"/>
          <w:szCs w:val="24"/>
        </w:rPr>
        <w:t>Symptomer</w:t>
      </w:r>
    </w:p>
    <w:p w:rsidR="008D5AF9" w:rsidRDefault="008D5AF9" w:rsidP="008D5AF9">
      <w:pPr>
        <w:spacing w:before="100" w:beforeAutospacing="1" w:after="100" w:afterAutospacing="1"/>
        <w:rPr>
          <w:rFonts w:eastAsia="Times New Roman" w:cstheme="minorHAnsi"/>
          <w:color w:val="000000"/>
          <w:sz w:val="24"/>
          <w:szCs w:val="24"/>
          <w:lang w:eastAsia="da-DK"/>
        </w:rPr>
      </w:pPr>
      <w:r>
        <w:rPr>
          <w:rFonts w:eastAsia="Times New Roman" w:cstheme="minorHAnsi"/>
          <w:color w:val="000000"/>
          <w:sz w:val="24"/>
          <w:szCs w:val="24"/>
          <w:lang w:eastAsia="da-DK"/>
        </w:rPr>
        <w:t>O</w:t>
      </w:r>
      <w:r w:rsidRPr="002F6BFC">
        <w:rPr>
          <w:rFonts w:eastAsia="Times New Roman" w:cstheme="minorHAnsi"/>
          <w:color w:val="000000"/>
          <w:sz w:val="24"/>
          <w:szCs w:val="24"/>
          <w:lang w:eastAsia="da-DK"/>
        </w:rPr>
        <w:t>pstår typisk 2-8 dage efter smitte</w:t>
      </w:r>
      <w:r>
        <w:rPr>
          <w:rFonts w:eastAsia="Times New Roman" w:cstheme="minorHAnsi"/>
          <w:color w:val="000000"/>
          <w:sz w:val="24"/>
          <w:szCs w:val="24"/>
          <w:lang w:eastAsia="da-DK"/>
        </w:rPr>
        <w:t xml:space="preserve">. </w:t>
      </w:r>
      <w:r w:rsidRPr="002F6BFC">
        <w:rPr>
          <w:rFonts w:eastAsia="Times New Roman" w:cstheme="minorHAnsi"/>
          <w:color w:val="000000"/>
          <w:sz w:val="24"/>
          <w:szCs w:val="24"/>
          <w:lang w:eastAsia="da-DK"/>
        </w:rPr>
        <w:t>Svie ved vandladning, rødme ved meatus uretra og mukopurulent udflåd fra uretra eller cervix</w:t>
      </w:r>
      <w:r>
        <w:rPr>
          <w:rFonts w:eastAsia="Times New Roman" w:cstheme="minorHAnsi"/>
          <w:color w:val="000000"/>
          <w:sz w:val="24"/>
          <w:szCs w:val="24"/>
          <w:lang w:eastAsia="da-DK"/>
        </w:rPr>
        <w:t xml:space="preserve">. </w:t>
      </w:r>
      <w:r w:rsidRPr="002F6BFC">
        <w:rPr>
          <w:rFonts w:eastAsia="Times New Roman" w:cstheme="minorHAnsi"/>
          <w:color w:val="000000"/>
          <w:sz w:val="24"/>
          <w:szCs w:val="24"/>
          <w:lang w:eastAsia="da-DK"/>
        </w:rPr>
        <w:t>Asymptomatisk infektion er hyppig hos kvinder (ca. 50 %) og mere sjældent forekommende hos mænd (ca. 10%)</w:t>
      </w:r>
      <w:r>
        <w:rPr>
          <w:rFonts w:eastAsia="Times New Roman" w:cstheme="minorHAnsi"/>
          <w:color w:val="000000"/>
          <w:sz w:val="24"/>
          <w:szCs w:val="24"/>
          <w:lang w:eastAsia="da-DK"/>
        </w:rPr>
        <w:t xml:space="preserve">. </w:t>
      </w:r>
    </w:p>
    <w:p w:rsidR="008D5AF9" w:rsidRPr="002F6BFC" w:rsidRDefault="008D5AF9" w:rsidP="008D5AF9">
      <w:pPr>
        <w:spacing w:before="100" w:beforeAutospacing="1" w:after="100" w:afterAutospacing="1"/>
        <w:rPr>
          <w:rFonts w:eastAsia="Times New Roman" w:cstheme="minorHAnsi"/>
          <w:color w:val="000000"/>
          <w:sz w:val="24"/>
          <w:szCs w:val="24"/>
          <w:lang w:eastAsia="da-DK"/>
        </w:rPr>
      </w:pPr>
      <w:r w:rsidRPr="002F6BFC">
        <w:rPr>
          <w:rFonts w:eastAsia="Times New Roman" w:cstheme="minorHAnsi"/>
          <w:color w:val="000000"/>
          <w:sz w:val="24"/>
          <w:szCs w:val="24"/>
          <w:lang w:eastAsia="da-DK"/>
        </w:rPr>
        <w:t>Omtrent halvdelen af kvinder får øget mukopurulent udflåd, ubehag i nedre del af abdomen og eventuelt dyspareuni, plet- og/eller kontaktblødning eller menorrhagi</w:t>
      </w:r>
      <w:r w:rsidR="00655A3F">
        <w:rPr>
          <w:rFonts w:eastAsia="Times New Roman" w:cstheme="minorHAnsi"/>
          <w:color w:val="000000"/>
          <w:sz w:val="24"/>
          <w:szCs w:val="24"/>
          <w:lang w:eastAsia="da-DK"/>
        </w:rPr>
        <w:t>.</w:t>
      </w:r>
    </w:p>
    <w:p w:rsidR="008D5AF9" w:rsidRPr="002F6BFC" w:rsidRDefault="008D5AF9" w:rsidP="008D5AF9">
      <w:pPr>
        <w:spacing w:before="100" w:beforeAutospacing="1" w:after="100" w:afterAutospacing="1" w:line="240" w:lineRule="auto"/>
        <w:rPr>
          <w:rFonts w:eastAsia="Times New Roman" w:cstheme="minorHAnsi"/>
          <w:color w:val="000000"/>
          <w:sz w:val="24"/>
          <w:szCs w:val="24"/>
          <w:lang w:eastAsia="da-DK"/>
        </w:rPr>
      </w:pPr>
      <w:r>
        <w:rPr>
          <w:rFonts w:eastAsia="Times New Roman" w:cstheme="minorHAnsi"/>
          <w:color w:val="000000"/>
          <w:sz w:val="24"/>
          <w:szCs w:val="24"/>
          <w:lang w:eastAsia="da-DK"/>
        </w:rPr>
        <w:t>R</w:t>
      </w:r>
      <w:r w:rsidRPr="002F6BFC">
        <w:rPr>
          <w:rFonts w:eastAsia="Times New Roman" w:cstheme="minorHAnsi"/>
          <w:color w:val="000000"/>
          <w:sz w:val="24"/>
          <w:szCs w:val="24"/>
          <w:lang w:eastAsia="da-DK"/>
        </w:rPr>
        <w:t xml:space="preserve">ektalslimhinden og tonsiller kan </w:t>
      </w:r>
      <w:r>
        <w:rPr>
          <w:rFonts w:eastAsia="Times New Roman" w:cstheme="minorHAnsi"/>
          <w:color w:val="000000"/>
          <w:sz w:val="24"/>
          <w:szCs w:val="24"/>
          <w:lang w:eastAsia="da-DK"/>
        </w:rPr>
        <w:t>være sæde for infektion</w:t>
      </w:r>
      <w:r w:rsidRPr="002F6BFC">
        <w:rPr>
          <w:rFonts w:eastAsia="Times New Roman" w:cstheme="minorHAnsi"/>
          <w:color w:val="000000"/>
          <w:sz w:val="24"/>
          <w:szCs w:val="24"/>
          <w:lang w:eastAsia="da-DK"/>
        </w:rPr>
        <w:t xml:space="preserve">, </w:t>
      </w:r>
      <w:r>
        <w:rPr>
          <w:rFonts w:eastAsia="Times New Roman" w:cstheme="minorHAnsi"/>
          <w:color w:val="000000"/>
          <w:sz w:val="24"/>
          <w:szCs w:val="24"/>
          <w:lang w:eastAsia="da-DK"/>
        </w:rPr>
        <w:t>som oftest asymptomatisk.</w:t>
      </w:r>
    </w:p>
    <w:p w:rsidR="008D5AF9" w:rsidRPr="002F6BFC" w:rsidRDefault="008D5AF9" w:rsidP="008D5AF9">
      <w:pPr>
        <w:spacing w:before="100" w:beforeAutospacing="1" w:after="100" w:afterAutospacing="1" w:line="240" w:lineRule="auto"/>
        <w:rPr>
          <w:rFonts w:eastAsia="Times New Roman" w:cstheme="minorHAnsi"/>
          <w:color w:val="000000"/>
          <w:sz w:val="24"/>
          <w:szCs w:val="24"/>
          <w:lang w:eastAsia="da-DK"/>
        </w:rPr>
      </w:pPr>
      <w:r>
        <w:rPr>
          <w:rFonts w:eastAsia="Times New Roman" w:cstheme="minorHAnsi"/>
          <w:color w:val="000000"/>
          <w:sz w:val="24"/>
          <w:szCs w:val="24"/>
          <w:lang w:eastAsia="da-DK"/>
        </w:rPr>
        <w:t xml:space="preserve">Ved infektion af </w:t>
      </w:r>
      <w:r w:rsidR="006E4E05">
        <w:rPr>
          <w:rFonts w:eastAsia="Times New Roman" w:cstheme="minorHAnsi"/>
          <w:color w:val="000000"/>
          <w:sz w:val="24"/>
          <w:szCs w:val="24"/>
          <w:lang w:eastAsia="da-DK"/>
        </w:rPr>
        <w:t>k</w:t>
      </w:r>
      <w:r>
        <w:rPr>
          <w:rFonts w:eastAsia="Times New Roman" w:cstheme="minorHAnsi"/>
          <w:color w:val="000000"/>
          <w:sz w:val="24"/>
          <w:szCs w:val="24"/>
          <w:lang w:eastAsia="da-DK"/>
        </w:rPr>
        <w:t xml:space="preserve">onjunktiva ses </w:t>
      </w:r>
      <w:r w:rsidR="00682D70">
        <w:rPr>
          <w:rFonts w:eastAsia="Times New Roman" w:cstheme="minorHAnsi"/>
          <w:color w:val="000000"/>
          <w:sz w:val="24"/>
          <w:szCs w:val="24"/>
          <w:lang w:eastAsia="da-DK"/>
        </w:rPr>
        <w:t>gonorroisk</w:t>
      </w:r>
      <w:r w:rsidRPr="002F6BFC">
        <w:rPr>
          <w:rFonts w:eastAsia="Times New Roman" w:cstheme="minorHAnsi"/>
          <w:color w:val="000000"/>
          <w:sz w:val="24"/>
          <w:szCs w:val="24"/>
          <w:lang w:eastAsia="da-DK"/>
        </w:rPr>
        <w:t xml:space="preserve"> konjunktivit</w:t>
      </w:r>
      <w:r>
        <w:rPr>
          <w:rFonts w:eastAsia="Times New Roman" w:cstheme="minorHAnsi"/>
          <w:color w:val="000000"/>
          <w:sz w:val="24"/>
          <w:szCs w:val="24"/>
          <w:lang w:eastAsia="da-DK"/>
        </w:rPr>
        <w:t>.</w:t>
      </w:r>
    </w:p>
    <w:p w:rsidR="008D5AF9" w:rsidRPr="002F6BFC" w:rsidRDefault="008D5AF9" w:rsidP="008D5AF9">
      <w:pPr>
        <w:spacing w:before="100" w:beforeAutospacing="1" w:after="100" w:afterAutospacing="1"/>
        <w:rPr>
          <w:rFonts w:cstheme="minorHAnsi"/>
          <w:b/>
          <w:bCs/>
          <w:sz w:val="24"/>
          <w:szCs w:val="24"/>
        </w:rPr>
      </w:pPr>
      <w:r w:rsidRPr="002F6BFC">
        <w:rPr>
          <w:rFonts w:cstheme="minorHAnsi"/>
          <w:b/>
          <w:bCs/>
          <w:sz w:val="24"/>
          <w:szCs w:val="24"/>
        </w:rPr>
        <w:t>Komplikationer</w:t>
      </w:r>
    </w:p>
    <w:p w:rsidR="008D5AF9" w:rsidRPr="00482AA8" w:rsidRDefault="008D5AF9" w:rsidP="008D5AF9">
      <w:pPr>
        <w:rPr>
          <w:sz w:val="24"/>
          <w:szCs w:val="24"/>
        </w:rPr>
      </w:pPr>
      <w:r w:rsidRPr="00482AA8">
        <w:rPr>
          <w:sz w:val="24"/>
          <w:szCs w:val="24"/>
        </w:rPr>
        <w:t>Ascenderende infektion med epididymit</w:t>
      </w:r>
      <w:r>
        <w:rPr>
          <w:sz w:val="24"/>
          <w:szCs w:val="24"/>
        </w:rPr>
        <w:t>,</w:t>
      </w:r>
      <w:r w:rsidRPr="00482AA8">
        <w:rPr>
          <w:sz w:val="24"/>
          <w:szCs w:val="24"/>
        </w:rPr>
        <w:t xml:space="preserve"> eller hos kvinder salpingit, kan medføre ektopisk graviditet, </w:t>
      </w:r>
      <w:r>
        <w:rPr>
          <w:sz w:val="24"/>
          <w:szCs w:val="24"/>
        </w:rPr>
        <w:t xml:space="preserve">nedsat </w:t>
      </w:r>
      <w:r w:rsidRPr="00482AA8">
        <w:rPr>
          <w:sz w:val="24"/>
          <w:szCs w:val="24"/>
        </w:rPr>
        <w:t>fertilitet eller kroniske underlivssmerter</w:t>
      </w:r>
      <w:r w:rsidR="00682D70">
        <w:rPr>
          <w:sz w:val="24"/>
          <w:szCs w:val="24"/>
        </w:rPr>
        <w:t>.</w:t>
      </w:r>
    </w:p>
    <w:p w:rsidR="008D5AF9" w:rsidRPr="00482AA8" w:rsidRDefault="008D5AF9" w:rsidP="008D5AF9">
      <w:pPr>
        <w:rPr>
          <w:sz w:val="24"/>
          <w:szCs w:val="24"/>
        </w:rPr>
      </w:pPr>
      <w:r w:rsidRPr="00482AA8">
        <w:rPr>
          <w:rFonts w:eastAsia="Times New Roman"/>
          <w:color w:val="000000"/>
          <w:sz w:val="24"/>
          <w:szCs w:val="24"/>
          <w:lang w:eastAsia="da-DK"/>
        </w:rPr>
        <w:lastRenderedPageBreak/>
        <w:t xml:space="preserve">Smitte </w:t>
      </w:r>
      <w:r>
        <w:rPr>
          <w:rFonts w:eastAsia="Times New Roman"/>
          <w:color w:val="000000"/>
          <w:sz w:val="24"/>
          <w:szCs w:val="24"/>
          <w:lang w:eastAsia="da-DK"/>
        </w:rPr>
        <w:t>via fødselskanalen</w:t>
      </w:r>
      <w:r w:rsidRPr="00482AA8">
        <w:rPr>
          <w:rFonts w:eastAsia="Times New Roman"/>
          <w:color w:val="000000"/>
          <w:sz w:val="24"/>
          <w:szCs w:val="24"/>
          <w:lang w:eastAsia="da-DK"/>
        </w:rPr>
        <w:t xml:space="preserve"> kan medføre purulent konjunktivit</w:t>
      </w:r>
      <w:r>
        <w:rPr>
          <w:rFonts w:eastAsia="Times New Roman"/>
          <w:color w:val="000000"/>
          <w:sz w:val="24"/>
          <w:szCs w:val="24"/>
          <w:lang w:eastAsia="da-DK"/>
        </w:rPr>
        <w:t xml:space="preserve"> hos den nyfødte</w:t>
      </w:r>
      <w:r w:rsidRPr="00482AA8">
        <w:rPr>
          <w:rFonts w:eastAsia="Times New Roman"/>
          <w:color w:val="000000"/>
          <w:sz w:val="24"/>
          <w:szCs w:val="24"/>
          <w:lang w:eastAsia="da-DK"/>
        </w:rPr>
        <w:t xml:space="preserve">, der </w:t>
      </w:r>
      <w:r>
        <w:rPr>
          <w:rFonts w:eastAsia="Times New Roman"/>
          <w:color w:val="000000"/>
          <w:sz w:val="24"/>
          <w:szCs w:val="24"/>
          <w:lang w:eastAsia="da-DK"/>
        </w:rPr>
        <w:t xml:space="preserve">i værste tilfælde </w:t>
      </w:r>
      <w:r w:rsidRPr="00482AA8">
        <w:rPr>
          <w:rFonts w:eastAsia="Times New Roman"/>
          <w:color w:val="000000"/>
          <w:sz w:val="24"/>
          <w:szCs w:val="24"/>
          <w:lang w:eastAsia="da-DK"/>
        </w:rPr>
        <w:t xml:space="preserve">kan </w:t>
      </w:r>
      <w:r>
        <w:rPr>
          <w:rFonts w:eastAsia="Times New Roman"/>
          <w:color w:val="000000"/>
          <w:sz w:val="24"/>
          <w:szCs w:val="24"/>
          <w:lang w:eastAsia="da-DK"/>
        </w:rPr>
        <w:t>med</w:t>
      </w:r>
      <w:r w:rsidRPr="00482AA8">
        <w:rPr>
          <w:rFonts w:eastAsia="Times New Roman"/>
          <w:color w:val="000000"/>
          <w:sz w:val="24"/>
          <w:szCs w:val="24"/>
          <w:lang w:eastAsia="da-DK"/>
        </w:rPr>
        <w:t>føre blindhed</w:t>
      </w:r>
      <w:r>
        <w:rPr>
          <w:rFonts w:eastAsia="Times New Roman"/>
          <w:color w:val="000000"/>
          <w:sz w:val="24"/>
          <w:szCs w:val="24"/>
          <w:lang w:eastAsia="da-DK"/>
        </w:rPr>
        <w:t>.</w:t>
      </w:r>
    </w:p>
    <w:p w:rsidR="008D5AF9" w:rsidRPr="00482AA8" w:rsidRDefault="008D5AF9" w:rsidP="008D5AF9">
      <w:pPr>
        <w:rPr>
          <w:sz w:val="24"/>
          <w:szCs w:val="24"/>
        </w:rPr>
      </w:pPr>
      <w:r w:rsidRPr="00482AA8">
        <w:rPr>
          <w:rFonts w:eastAsia="Times New Roman"/>
          <w:color w:val="000000"/>
          <w:sz w:val="24"/>
          <w:szCs w:val="24"/>
          <w:lang w:eastAsia="da-DK"/>
        </w:rPr>
        <w:t xml:space="preserve">Dissemineret gonokok infektion kan medføre feber, purulent eller reaktiv artrit </w:t>
      </w:r>
      <w:r>
        <w:rPr>
          <w:rFonts w:eastAsia="Times New Roman"/>
          <w:color w:val="000000"/>
          <w:sz w:val="24"/>
          <w:szCs w:val="24"/>
          <w:lang w:eastAsia="da-DK"/>
        </w:rPr>
        <w:t xml:space="preserve">, </w:t>
      </w:r>
      <w:r w:rsidRPr="00482AA8">
        <w:rPr>
          <w:rFonts w:eastAsia="Times New Roman"/>
          <w:color w:val="000000"/>
          <w:sz w:val="24"/>
          <w:szCs w:val="24"/>
          <w:lang w:eastAsia="da-DK"/>
        </w:rPr>
        <w:t xml:space="preserve"> tenosynovit</w:t>
      </w:r>
      <w:r>
        <w:rPr>
          <w:rFonts w:eastAsia="Times New Roman"/>
          <w:color w:val="000000"/>
          <w:sz w:val="24"/>
          <w:szCs w:val="24"/>
          <w:lang w:eastAsia="da-DK"/>
        </w:rPr>
        <w:t xml:space="preserve"> og</w:t>
      </w:r>
      <w:r w:rsidRPr="00482AA8">
        <w:rPr>
          <w:rFonts w:eastAsia="Times New Roman"/>
          <w:color w:val="000000"/>
          <w:sz w:val="24"/>
          <w:szCs w:val="24"/>
          <w:lang w:eastAsia="da-DK"/>
        </w:rPr>
        <w:t xml:space="preserve"> akralt lokaliserede pustler eller vaskulit</w:t>
      </w:r>
      <w:r w:rsidR="00682D70">
        <w:rPr>
          <w:rFonts w:eastAsia="Times New Roman"/>
          <w:color w:val="000000"/>
          <w:sz w:val="24"/>
          <w:szCs w:val="24"/>
          <w:lang w:eastAsia="da-DK"/>
        </w:rPr>
        <w:t>.</w:t>
      </w:r>
      <w:r w:rsidRPr="00482AA8">
        <w:rPr>
          <w:rFonts w:eastAsia="Times New Roman"/>
          <w:color w:val="000000"/>
          <w:sz w:val="24"/>
          <w:szCs w:val="24"/>
          <w:lang w:eastAsia="da-DK"/>
        </w:rPr>
        <w:t> </w:t>
      </w:r>
    </w:p>
    <w:p w:rsidR="008D5AF9" w:rsidRPr="002F6BFC" w:rsidRDefault="008D5AF9" w:rsidP="008D5AF9">
      <w:pPr>
        <w:spacing w:before="100" w:beforeAutospacing="1" w:after="100" w:afterAutospacing="1"/>
        <w:rPr>
          <w:rFonts w:cstheme="minorHAnsi"/>
          <w:b/>
          <w:bCs/>
          <w:sz w:val="24"/>
          <w:szCs w:val="24"/>
        </w:rPr>
      </w:pPr>
      <w:r w:rsidRPr="002F6BFC">
        <w:rPr>
          <w:rFonts w:cstheme="minorHAnsi"/>
          <w:b/>
          <w:bCs/>
          <w:sz w:val="24"/>
          <w:szCs w:val="24"/>
        </w:rPr>
        <w:t>Diagnostik</w:t>
      </w:r>
    </w:p>
    <w:p w:rsidR="008D5AF9" w:rsidRDefault="008D5AF9" w:rsidP="008D5AF9">
      <w:pPr>
        <w:spacing w:after="160"/>
        <w:rPr>
          <w:rFonts w:eastAsia="Times New Roman" w:cstheme="minorHAnsi"/>
          <w:color w:val="000000"/>
          <w:sz w:val="24"/>
          <w:szCs w:val="24"/>
          <w:lang w:eastAsia="da-DK"/>
        </w:rPr>
      </w:pPr>
      <w:r w:rsidRPr="002F6BFC">
        <w:rPr>
          <w:rFonts w:eastAsia="Times New Roman" w:cstheme="minorHAnsi"/>
          <w:b/>
          <w:bCs/>
          <w:color w:val="000000"/>
          <w:sz w:val="24"/>
          <w:szCs w:val="24"/>
          <w:lang w:eastAsia="da-DK"/>
        </w:rPr>
        <w:t>Ved symptomer</w:t>
      </w:r>
      <w:r w:rsidRPr="002F6BFC">
        <w:rPr>
          <w:rFonts w:eastAsia="Times New Roman" w:cstheme="minorHAnsi"/>
          <w:color w:val="000000"/>
          <w:sz w:val="24"/>
          <w:szCs w:val="24"/>
          <w:lang w:eastAsia="da-DK"/>
        </w:rPr>
        <w:br/>
        <w:t xml:space="preserve">Mikroskopi af metylenblåt farvet præparat af purulent sekret fra cervix, uretra </w:t>
      </w:r>
      <w:r>
        <w:rPr>
          <w:rFonts w:eastAsia="Times New Roman" w:cstheme="minorHAnsi"/>
          <w:color w:val="000000"/>
          <w:sz w:val="24"/>
          <w:szCs w:val="24"/>
          <w:lang w:eastAsia="da-DK"/>
        </w:rPr>
        <w:t>eller</w:t>
      </w:r>
      <w:r w:rsidRPr="002F6BFC">
        <w:rPr>
          <w:rFonts w:eastAsia="Times New Roman" w:cstheme="minorHAnsi"/>
          <w:color w:val="000000"/>
          <w:sz w:val="24"/>
          <w:szCs w:val="24"/>
          <w:lang w:eastAsia="da-DK"/>
        </w:rPr>
        <w:t xml:space="preserve"> rektum.</w:t>
      </w:r>
      <w:r>
        <w:rPr>
          <w:rFonts w:eastAsia="Times New Roman" w:cstheme="minorHAnsi"/>
          <w:color w:val="000000"/>
          <w:sz w:val="24"/>
          <w:szCs w:val="24"/>
          <w:lang w:eastAsia="da-DK"/>
        </w:rPr>
        <w:t xml:space="preserve"> Ved </w:t>
      </w:r>
      <w:r w:rsidR="00682D70">
        <w:rPr>
          <w:sz w:val="24"/>
          <w:szCs w:val="24"/>
        </w:rPr>
        <w:t>gonorroisk</w:t>
      </w:r>
      <w:r w:rsidRPr="00915909">
        <w:rPr>
          <w:sz w:val="24"/>
          <w:szCs w:val="24"/>
        </w:rPr>
        <w:t xml:space="preserve"> uretrit </w:t>
      </w:r>
      <w:r>
        <w:rPr>
          <w:sz w:val="24"/>
          <w:szCs w:val="24"/>
        </w:rPr>
        <w:t>vil man se</w:t>
      </w:r>
      <w:r w:rsidRPr="00915909">
        <w:rPr>
          <w:sz w:val="24"/>
          <w:szCs w:val="24"/>
        </w:rPr>
        <w:t xml:space="preserve"> </w:t>
      </w:r>
      <w:r w:rsidRPr="00915909">
        <w:rPr>
          <w:rFonts w:cstheme="minorHAnsi"/>
          <w:sz w:val="24"/>
          <w:szCs w:val="24"/>
        </w:rPr>
        <w:t>≥</w:t>
      </w:r>
      <w:r w:rsidRPr="00915909">
        <w:rPr>
          <w:sz w:val="24"/>
          <w:szCs w:val="24"/>
        </w:rPr>
        <w:t xml:space="preserve"> 5 </w:t>
      </w:r>
      <w:r>
        <w:rPr>
          <w:sz w:val="24"/>
          <w:szCs w:val="24"/>
        </w:rPr>
        <w:t>polymorfkernede leukocytter (PML)</w:t>
      </w:r>
      <w:r w:rsidRPr="00915909">
        <w:rPr>
          <w:sz w:val="24"/>
          <w:szCs w:val="24"/>
        </w:rPr>
        <w:t xml:space="preserve"> </w:t>
      </w:r>
      <w:r>
        <w:rPr>
          <w:sz w:val="24"/>
          <w:szCs w:val="24"/>
        </w:rPr>
        <w:t xml:space="preserve">pr. </w:t>
      </w:r>
      <w:r w:rsidRPr="00915909">
        <w:rPr>
          <w:sz w:val="24"/>
          <w:szCs w:val="24"/>
        </w:rPr>
        <w:t>synsfelt</w:t>
      </w:r>
      <w:r>
        <w:rPr>
          <w:sz w:val="24"/>
          <w:szCs w:val="24"/>
        </w:rPr>
        <w:t xml:space="preserve">, med </w:t>
      </w:r>
      <w:r w:rsidRPr="00915909">
        <w:rPr>
          <w:sz w:val="24"/>
          <w:szCs w:val="24"/>
        </w:rPr>
        <w:t>intra-cellulært lejrede</w:t>
      </w:r>
      <w:r>
        <w:rPr>
          <w:sz w:val="24"/>
          <w:szCs w:val="24"/>
        </w:rPr>
        <w:t xml:space="preserve"> diplokokker (x 100 objektiv)</w:t>
      </w:r>
      <w:r w:rsidRPr="00915909">
        <w:rPr>
          <w:sz w:val="24"/>
          <w:szCs w:val="24"/>
        </w:rPr>
        <w:t xml:space="preserve">. Ved </w:t>
      </w:r>
      <w:r w:rsidR="00682D70">
        <w:rPr>
          <w:sz w:val="24"/>
          <w:szCs w:val="24"/>
        </w:rPr>
        <w:t>gonorroisk</w:t>
      </w:r>
      <w:r w:rsidRPr="00915909">
        <w:rPr>
          <w:sz w:val="24"/>
          <w:szCs w:val="24"/>
        </w:rPr>
        <w:t xml:space="preserve"> cervi</w:t>
      </w:r>
      <w:r>
        <w:rPr>
          <w:sz w:val="24"/>
          <w:szCs w:val="24"/>
        </w:rPr>
        <w:t>c</w:t>
      </w:r>
      <w:r w:rsidRPr="00915909">
        <w:rPr>
          <w:sz w:val="24"/>
          <w:szCs w:val="24"/>
        </w:rPr>
        <w:t xml:space="preserve">it ses </w:t>
      </w:r>
      <w:r w:rsidRPr="00915909">
        <w:rPr>
          <w:rFonts w:cstheme="minorHAnsi"/>
          <w:sz w:val="24"/>
          <w:szCs w:val="24"/>
        </w:rPr>
        <w:t>≥</w:t>
      </w:r>
      <w:r w:rsidRPr="00915909">
        <w:rPr>
          <w:sz w:val="24"/>
          <w:szCs w:val="24"/>
        </w:rPr>
        <w:t xml:space="preserve"> 30 </w:t>
      </w:r>
      <w:r>
        <w:rPr>
          <w:sz w:val="24"/>
          <w:szCs w:val="24"/>
        </w:rPr>
        <w:t>PML pr.</w:t>
      </w:r>
      <w:r w:rsidRPr="00915909">
        <w:rPr>
          <w:sz w:val="24"/>
          <w:szCs w:val="24"/>
        </w:rPr>
        <w:t xml:space="preserve"> synsfelt</w:t>
      </w:r>
      <w:r>
        <w:rPr>
          <w:sz w:val="24"/>
          <w:szCs w:val="24"/>
        </w:rPr>
        <w:t>, med</w:t>
      </w:r>
      <w:r w:rsidRPr="00915909">
        <w:rPr>
          <w:sz w:val="24"/>
          <w:szCs w:val="24"/>
        </w:rPr>
        <w:t xml:space="preserve"> intracellulært lejrede </w:t>
      </w:r>
      <w:r>
        <w:rPr>
          <w:sz w:val="24"/>
          <w:szCs w:val="24"/>
        </w:rPr>
        <w:t>diplokokker (x 100 objektiv).</w:t>
      </w:r>
    </w:p>
    <w:p w:rsidR="008D5AF9" w:rsidRPr="0043005C" w:rsidRDefault="008D5AF9" w:rsidP="008D5AF9">
      <w:pPr>
        <w:spacing w:after="160"/>
        <w:rPr>
          <w:rFonts w:eastAsia="Times New Roman" w:cstheme="minorHAnsi"/>
          <w:color w:val="000000"/>
          <w:sz w:val="24"/>
          <w:szCs w:val="24"/>
          <w:lang w:eastAsia="da-DK"/>
        </w:rPr>
      </w:pPr>
      <w:r>
        <w:rPr>
          <w:rFonts w:eastAsia="Times New Roman" w:cstheme="minorHAnsi"/>
          <w:color w:val="000000"/>
          <w:sz w:val="24"/>
          <w:szCs w:val="24"/>
          <w:lang w:eastAsia="da-DK"/>
        </w:rPr>
        <w:t xml:space="preserve">Podning til nukleinsyre amplifikationsteknik (NAT) undersøgelse for </w:t>
      </w:r>
      <w:r>
        <w:rPr>
          <w:rFonts w:eastAsia="Times New Roman" w:cstheme="minorHAnsi"/>
          <w:i/>
          <w:iCs/>
          <w:color w:val="000000"/>
          <w:sz w:val="24"/>
          <w:szCs w:val="24"/>
          <w:lang w:eastAsia="da-DK"/>
        </w:rPr>
        <w:t xml:space="preserve">Chlamydia trachomatis og Neisseria gonorrhoeae, </w:t>
      </w:r>
      <w:r>
        <w:rPr>
          <w:rFonts w:eastAsia="Times New Roman" w:cstheme="minorHAnsi"/>
          <w:color w:val="000000"/>
          <w:sz w:val="24"/>
          <w:szCs w:val="24"/>
          <w:lang w:eastAsia="da-DK"/>
        </w:rPr>
        <w:t>se tabel 1</w:t>
      </w:r>
    </w:p>
    <w:p w:rsidR="008D5AF9" w:rsidRPr="00915909" w:rsidRDefault="008D5AF9" w:rsidP="008D5AF9">
      <w:pPr>
        <w:rPr>
          <w:sz w:val="24"/>
          <w:szCs w:val="24"/>
        </w:rPr>
      </w:pPr>
      <w:r w:rsidRPr="00915909">
        <w:rPr>
          <w:sz w:val="24"/>
          <w:szCs w:val="24"/>
        </w:rPr>
        <w:t xml:space="preserve">Hvis patienten er henvist fra f.eks. egen læge med positiv </w:t>
      </w:r>
      <w:r w:rsidRPr="00915909">
        <w:rPr>
          <w:i/>
          <w:iCs/>
          <w:sz w:val="24"/>
          <w:szCs w:val="24"/>
        </w:rPr>
        <w:t xml:space="preserve">N. gonorrhoeae </w:t>
      </w:r>
      <w:r w:rsidRPr="00915909">
        <w:rPr>
          <w:sz w:val="24"/>
          <w:szCs w:val="24"/>
        </w:rPr>
        <w:t xml:space="preserve">(gonokok; GK) </w:t>
      </w:r>
      <w:r>
        <w:rPr>
          <w:sz w:val="24"/>
          <w:szCs w:val="24"/>
        </w:rPr>
        <w:t>NAT</w:t>
      </w:r>
      <w:r w:rsidRPr="00915909">
        <w:rPr>
          <w:sz w:val="24"/>
          <w:szCs w:val="24"/>
        </w:rPr>
        <w:t xml:space="preserve"> fra én lokalisation, eller ved positiv mikroskopi, tages GK NAT fra</w:t>
      </w:r>
      <w:r>
        <w:rPr>
          <w:sz w:val="24"/>
          <w:szCs w:val="24"/>
        </w:rPr>
        <w:t xml:space="preserve"> svælg</w:t>
      </w:r>
      <w:r w:rsidRPr="00915909">
        <w:rPr>
          <w:sz w:val="24"/>
          <w:szCs w:val="24"/>
        </w:rPr>
        <w:t xml:space="preserve">, uretra, cervix og rektum samt supplerende podning til GK D+R fra svælg, </w:t>
      </w:r>
      <w:r>
        <w:rPr>
          <w:sz w:val="24"/>
          <w:szCs w:val="24"/>
        </w:rPr>
        <w:t>uretra,</w:t>
      </w:r>
      <w:r w:rsidRPr="00915909">
        <w:rPr>
          <w:sz w:val="24"/>
          <w:szCs w:val="24"/>
        </w:rPr>
        <w:t xml:space="preserve"> cervix</w:t>
      </w:r>
      <w:r>
        <w:rPr>
          <w:sz w:val="24"/>
          <w:szCs w:val="24"/>
        </w:rPr>
        <w:t xml:space="preserve"> og rektum</w:t>
      </w:r>
      <w:r w:rsidRPr="00915909">
        <w:rPr>
          <w:sz w:val="24"/>
          <w:szCs w:val="24"/>
        </w:rPr>
        <w:t xml:space="preserve"> mhp. resistensundersøgelse med e-swab og egnet transportmedium.</w:t>
      </w:r>
    </w:p>
    <w:p w:rsidR="008D5AF9" w:rsidRPr="00915909" w:rsidRDefault="008D5AF9" w:rsidP="008D5AF9">
      <w:pPr>
        <w:rPr>
          <w:sz w:val="24"/>
          <w:szCs w:val="24"/>
        </w:rPr>
      </w:pPr>
      <w:r w:rsidRPr="00915909">
        <w:rPr>
          <w:sz w:val="24"/>
          <w:szCs w:val="24"/>
        </w:rPr>
        <w:t>NB: Specificiteten af NAT er lavere oro</w:t>
      </w:r>
      <w:r>
        <w:rPr>
          <w:sz w:val="24"/>
          <w:szCs w:val="24"/>
        </w:rPr>
        <w:t>f</w:t>
      </w:r>
      <w:r w:rsidRPr="00915909">
        <w:rPr>
          <w:sz w:val="24"/>
          <w:szCs w:val="24"/>
        </w:rPr>
        <w:t xml:space="preserve">aryngealt </w:t>
      </w:r>
      <w:r w:rsidRPr="00915909">
        <w:rPr>
          <w:noProof/>
          <w:sz w:val="24"/>
          <w:szCs w:val="24"/>
        </w:rPr>
        <w:t>(3)</w:t>
      </w:r>
      <w:r w:rsidRPr="00915909">
        <w:rPr>
          <w:sz w:val="24"/>
          <w:szCs w:val="24"/>
        </w:rPr>
        <w:t xml:space="preserve">. I Danmark udføres dog rutinemæssigt konfirmatorisk tests ved positiv GK NAT, og svaret giver derfor anledning til behandling.  </w:t>
      </w:r>
    </w:p>
    <w:p w:rsidR="008D5AF9" w:rsidRPr="00915909" w:rsidRDefault="008D5AF9" w:rsidP="008D5AF9">
      <w:pPr>
        <w:rPr>
          <w:sz w:val="24"/>
          <w:szCs w:val="24"/>
        </w:rPr>
      </w:pPr>
      <w:r w:rsidRPr="00915909">
        <w:rPr>
          <w:sz w:val="24"/>
          <w:szCs w:val="24"/>
        </w:rPr>
        <w:t>NAT er mere sensitiv end D+R specielt rektalt samt oro</w:t>
      </w:r>
      <w:r>
        <w:rPr>
          <w:sz w:val="24"/>
          <w:szCs w:val="24"/>
        </w:rPr>
        <w:t>f</w:t>
      </w:r>
      <w:r w:rsidRPr="00915909">
        <w:rPr>
          <w:sz w:val="24"/>
          <w:szCs w:val="24"/>
        </w:rPr>
        <w:t>aryngealt. Ved positiv GK NAT, tages forud for behandling som anført GK podning til D+R, dette svar afventes ikke før opstart af behandling</w:t>
      </w:r>
      <w:r w:rsidR="00682D70">
        <w:rPr>
          <w:sz w:val="24"/>
          <w:szCs w:val="24"/>
        </w:rPr>
        <w:t>.</w:t>
      </w:r>
    </w:p>
    <w:p w:rsidR="008D5AF9" w:rsidRPr="00915909" w:rsidRDefault="008D5AF9" w:rsidP="008D5AF9">
      <w:pPr>
        <w:rPr>
          <w:sz w:val="24"/>
          <w:szCs w:val="24"/>
        </w:rPr>
      </w:pPr>
      <w:r w:rsidRPr="00915909">
        <w:rPr>
          <w:b/>
          <w:bCs/>
          <w:sz w:val="24"/>
          <w:szCs w:val="24"/>
        </w:rPr>
        <w:t>Behandling</w:t>
      </w:r>
    </w:p>
    <w:p w:rsidR="008D5AF9" w:rsidRPr="00915909" w:rsidRDefault="008D5AF9" w:rsidP="008D5AF9">
      <w:pPr>
        <w:rPr>
          <w:sz w:val="24"/>
          <w:szCs w:val="24"/>
        </w:rPr>
      </w:pPr>
      <w:r>
        <w:rPr>
          <w:sz w:val="24"/>
          <w:szCs w:val="24"/>
        </w:rPr>
        <w:t xml:space="preserve">Se tabel 2. </w:t>
      </w:r>
      <w:r w:rsidRPr="00915909">
        <w:rPr>
          <w:sz w:val="24"/>
          <w:szCs w:val="24"/>
        </w:rPr>
        <w:t xml:space="preserve">Ceftriaxonresistens og behandlingsresistens blandt gonokokker er konstateret flere steder på verdensplan </w:t>
      </w:r>
      <w:r w:rsidRPr="00915909">
        <w:rPr>
          <w:noProof/>
          <w:sz w:val="24"/>
          <w:szCs w:val="24"/>
        </w:rPr>
        <w:t>(4)</w:t>
      </w:r>
      <w:r w:rsidRPr="00915909">
        <w:rPr>
          <w:sz w:val="24"/>
          <w:szCs w:val="24"/>
        </w:rPr>
        <w:t xml:space="preserve">, men grundet en tilnærmelsesvis ikke eksisterende forekomst af cefalosporin-resistens i Danmark og en lav </w:t>
      </w:r>
      <w:r>
        <w:rPr>
          <w:sz w:val="24"/>
          <w:szCs w:val="24"/>
        </w:rPr>
        <w:t>mindste inhibitoriske koncentration (</w:t>
      </w:r>
      <w:r w:rsidRPr="00915909">
        <w:rPr>
          <w:sz w:val="24"/>
          <w:szCs w:val="24"/>
        </w:rPr>
        <w:t>MIC</w:t>
      </w:r>
      <w:r>
        <w:rPr>
          <w:sz w:val="24"/>
          <w:szCs w:val="24"/>
        </w:rPr>
        <w:t>)</w:t>
      </w:r>
      <w:r w:rsidRPr="00915909">
        <w:rPr>
          <w:sz w:val="24"/>
          <w:szCs w:val="24"/>
        </w:rPr>
        <w:t xml:space="preserve"> anbefales aktuelt lavdosis monoterapi med cefalosporin</w:t>
      </w:r>
      <w:r>
        <w:rPr>
          <w:sz w:val="24"/>
          <w:szCs w:val="24"/>
        </w:rPr>
        <w:t xml:space="preserve"> (500 mg i.m.)</w:t>
      </w:r>
      <w:r w:rsidRPr="00915909">
        <w:rPr>
          <w:sz w:val="24"/>
          <w:szCs w:val="24"/>
        </w:rPr>
        <w:t xml:space="preserve">, og ikke højdosis behandling med 1 g som anbefales i IUSTIs nyeste guideline </w:t>
      </w:r>
      <w:r w:rsidRPr="00915909">
        <w:rPr>
          <w:noProof/>
          <w:sz w:val="24"/>
          <w:szCs w:val="24"/>
        </w:rPr>
        <w:t>(3)</w:t>
      </w:r>
      <w:r w:rsidRPr="00915909">
        <w:rPr>
          <w:sz w:val="24"/>
          <w:szCs w:val="24"/>
        </w:rPr>
        <w:t xml:space="preserve">. </w:t>
      </w:r>
    </w:p>
    <w:p w:rsidR="008D5AF9" w:rsidRDefault="008D5AF9" w:rsidP="008D5AF9">
      <w:pPr>
        <w:spacing w:after="160"/>
        <w:rPr>
          <w:rFonts w:eastAsia="Times New Roman" w:cstheme="minorHAnsi"/>
          <w:color w:val="000000"/>
          <w:sz w:val="24"/>
          <w:szCs w:val="24"/>
          <w:lang w:eastAsia="da-DK"/>
        </w:rPr>
      </w:pPr>
    </w:p>
    <w:p w:rsidR="008D5AF9" w:rsidRDefault="008D5AF9" w:rsidP="008D5AF9">
      <w:pPr>
        <w:spacing w:after="160"/>
        <w:rPr>
          <w:rFonts w:eastAsia="Times New Roman" w:cstheme="minorHAnsi"/>
          <w:color w:val="000000"/>
          <w:sz w:val="24"/>
          <w:szCs w:val="24"/>
          <w:lang w:eastAsia="da-DK"/>
        </w:rPr>
      </w:pPr>
    </w:p>
    <w:p w:rsidR="008D5AF9" w:rsidRDefault="008D5AF9" w:rsidP="008D5AF9">
      <w:pPr>
        <w:spacing w:after="160"/>
        <w:rPr>
          <w:rFonts w:eastAsia="Times New Roman" w:cstheme="minorHAnsi"/>
          <w:color w:val="000000"/>
          <w:sz w:val="24"/>
          <w:szCs w:val="24"/>
          <w:lang w:eastAsia="da-DK"/>
        </w:rPr>
      </w:pPr>
    </w:p>
    <w:p w:rsidR="008D5AF9" w:rsidRPr="002F6BFC" w:rsidRDefault="008D5AF9" w:rsidP="008D5AF9">
      <w:pPr>
        <w:spacing w:after="160"/>
        <w:rPr>
          <w:rFonts w:eastAsia="Times New Roman" w:cstheme="minorHAnsi"/>
          <w:color w:val="000000"/>
          <w:sz w:val="24"/>
          <w:szCs w:val="24"/>
          <w:lang w:eastAsia="da-DK"/>
        </w:rPr>
      </w:pPr>
    </w:p>
    <w:tbl>
      <w:tblPr>
        <w:tblW w:w="10548" w:type="dxa"/>
        <w:tblCellMar>
          <w:left w:w="0" w:type="dxa"/>
          <w:right w:w="0" w:type="dxa"/>
        </w:tblCellMar>
        <w:tblLook w:val="0420" w:firstRow="1" w:lastRow="0" w:firstColumn="0" w:lastColumn="0" w:noHBand="0" w:noVBand="1"/>
      </w:tblPr>
      <w:tblGrid>
        <w:gridCol w:w="1895"/>
        <w:gridCol w:w="1728"/>
        <w:gridCol w:w="1734"/>
        <w:gridCol w:w="1728"/>
        <w:gridCol w:w="1733"/>
        <w:gridCol w:w="1730"/>
      </w:tblGrid>
      <w:tr w:rsidR="008D5AF9" w:rsidRPr="002F6BFC" w:rsidTr="008D5AF9">
        <w:trPr>
          <w:trHeight w:val="466"/>
        </w:trPr>
        <w:tc>
          <w:tcPr>
            <w:tcW w:w="10548"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8D5AF9" w:rsidRPr="002F6BFC" w:rsidRDefault="008D5AF9" w:rsidP="008D5AF9">
            <w:pPr>
              <w:rPr>
                <w:rFonts w:eastAsia="Times New Roman" w:cstheme="minorHAnsi"/>
                <w:b/>
                <w:bCs/>
                <w:i/>
                <w:iCs/>
                <w:color w:val="000000"/>
                <w:sz w:val="24"/>
                <w:szCs w:val="24"/>
                <w:lang w:eastAsia="da-DK"/>
              </w:rPr>
            </w:pPr>
            <w:r w:rsidRPr="002F6BFC">
              <w:rPr>
                <w:rFonts w:eastAsia="Times New Roman" w:cstheme="minorHAnsi"/>
                <w:b/>
                <w:bCs/>
                <w:color w:val="000000"/>
                <w:sz w:val="24"/>
                <w:szCs w:val="24"/>
                <w:lang w:eastAsia="da-DK"/>
              </w:rPr>
              <w:lastRenderedPageBreak/>
              <w:t xml:space="preserve">Tabel </w:t>
            </w:r>
            <w:r>
              <w:rPr>
                <w:rFonts w:eastAsia="Times New Roman" w:cstheme="minorHAnsi"/>
                <w:b/>
                <w:bCs/>
                <w:color w:val="000000"/>
                <w:sz w:val="24"/>
                <w:szCs w:val="24"/>
                <w:lang w:eastAsia="da-DK"/>
              </w:rPr>
              <w:t>1</w:t>
            </w:r>
            <w:r w:rsidRPr="002F6BFC">
              <w:rPr>
                <w:rFonts w:eastAsia="Times New Roman" w:cstheme="minorHAnsi"/>
                <w:b/>
                <w:bCs/>
                <w:color w:val="000000"/>
                <w:sz w:val="24"/>
                <w:szCs w:val="24"/>
                <w:lang w:eastAsia="da-DK"/>
              </w:rPr>
              <w:t>.</w:t>
            </w:r>
            <w:r w:rsidRPr="002F6BFC">
              <w:rPr>
                <w:rFonts w:eastAsia="Times New Roman" w:cstheme="minorHAnsi"/>
                <w:color w:val="000000"/>
                <w:sz w:val="24"/>
                <w:szCs w:val="24"/>
                <w:lang w:eastAsia="da-DK"/>
              </w:rPr>
              <w:t xml:space="preserve"> </w:t>
            </w:r>
            <w:r>
              <w:rPr>
                <w:rFonts w:eastAsia="Times New Roman" w:cstheme="minorHAnsi"/>
                <w:color w:val="000000"/>
                <w:sz w:val="24"/>
                <w:szCs w:val="24"/>
                <w:lang w:eastAsia="da-DK"/>
              </w:rPr>
              <w:t>Kombineret u</w:t>
            </w:r>
            <w:r w:rsidRPr="002F6BFC">
              <w:rPr>
                <w:rFonts w:eastAsia="Times New Roman" w:cstheme="minorHAnsi"/>
                <w:color w:val="000000"/>
                <w:sz w:val="24"/>
                <w:szCs w:val="24"/>
                <w:lang w:eastAsia="da-DK"/>
              </w:rPr>
              <w:t xml:space="preserve">dredning </w:t>
            </w:r>
            <w:r>
              <w:rPr>
                <w:rFonts w:eastAsia="Times New Roman" w:cstheme="minorHAnsi"/>
                <w:color w:val="000000"/>
                <w:sz w:val="24"/>
                <w:szCs w:val="24"/>
                <w:lang w:eastAsia="da-DK"/>
              </w:rPr>
              <w:t>af</w:t>
            </w:r>
            <w:r w:rsidRPr="002F6BFC">
              <w:rPr>
                <w:rFonts w:eastAsia="Times New Roman" w:cstheme="minorHAnsi"/>
                <w:color w:val="000000"/>
                <w:sz w:val="24"/>
                <w:szCs w:val="24"/>
                <w:lang w:eastAsia="da-DK"/>
              </w:rPr>
              <w:t xml:space="preserve"> klamydia og gonorré </w:t>
            </w:r>
            <w:r>
              <w:rPr>
                <w:rFonts w:eastAsia="Times New Roman" w:cstheme="minorHAnsi"/>
                <w:color w:val="000000"/>
                <w:sz w:val="24"/>
                <w:szCs w:val="24"/>
                <w:lang w:eastAsia="da-DK"/>
              </w:rPr>
              <w:t>hos</w:t>
            </w:r>
            <w:r w:rsidRPr="002F6BFC">
              <w:rPr>
                <w:rFonts w:eastAsia="Times New Roman" w:cstheme="minorHAnsi"/>
                <w:color w:val="000000"/>
                <w:sz w:val="24"/>
                <w:szCs w:val="24"/>
                <w:lang w:eastAsia="da-DK"/>
              </w:rPr>
              <w:t xml:space="preserve"> patient med eller uden symptomer: Detektion af DNA/RNA med relevant podepind til NAT undersøgelse for </w:t>
            </w:r>
            <w:r w:rsidRPr="002F6BFC">
              <w:rPr>
                <w:rFonts w:eastAsia="Times New Roman" w:cstheme="minorHAnsi"/>
                <w:i/>
                <w:iCs/>
                <w:color w:val="000000"/>
                <w:sz w:val="24"/>
                <w:szCs w:val="24"/>
                <w:lang w:eastAsia="da-DK"/>
              </w:rPr>
              <w:t>Chlamydia trachomatis og Neisseria gonorrhoeae</w:t>
            </w:r>
          </w:p>
        </w:tc>
      </w:tr>
      <w:tr w:rsidR="008D5AF9" w:rsidRPr="002F6BFC" w:rsidTr="008D5AF9">
        <w:trPr>
          <w:trHeight w:val="466"/>
        </w:trPr>
        <w:tc>
          <w:tcPr>
            <w:tcW w:w="189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rFonts w:eastAsia="Times New Roman" w:cstheme="minorHAnsi"/>
                <w:color w:val="000000"/>
                <w:sz w:val="24"/>
                <w:szCs w:val="24"/>
                <w:lang w:eastAsia="da-DK"/>
              </w:rPr>
            </w:pPr>
          </w:p>
        </w:tc>
        <w:tc>
          <w:tcPr>
            <w:tcW w:w="17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rFonts w:eastAsia="Times New Roman" w:cstheme="minorHAnsi"/>
                <w:color w:val="000000"/>
                <w:sz w:val="24"/>
                <w:szCs w:val="24"/>
                <w:lang w:eastAsia="da-DK"/>
              </w:rPr>
            </w:pPr>
            <w:r w:rsidRPr="002F6BFC">
              <w:rPr>
                <w:rFonts w:eastAsia="Times New Roman" w:cstheme="minorHAnsi"/>
                <w:b/>
                <w:bCs/>
                <w:color w:val="000000"/>
                <w:sz w:val="24"/>
                <w:szCs w:val="24"/>
                <w:lang w:eastAsia="da-DK"/>
              </w:rPr>
              <w:t>svælg</w:t>
            </w:r>
          </w:p>
        </w:tc>
        <w:tc>
          <w:tcPr>
            <w:tcW w:w="173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rFonts w:eastAsia="Times New Roman" w:cstheme="minorHAnsi"/>
                <w:color w:val="000000"/>
                <w:sz w:val="24"/>
                <w:szCs w:val="24"/>
                <w:lang w:eastAsia="da-DK"/>
              </w:rPr>
            </w:pPr>
            <w:r w:rsidRPr="002F6BFC">
              <w:rPr>
                <w:rFonts w:eastAsia="Times New Roman" w:cstheme="minorHAnsi"/>
                <w:b/>
                <w:bCs/>
                <w:color w:val="000000"/>
                <w:sz w:val="24"/>
                <w:szCs w:val="24"/>
                <w:lang w:eastAsia="da-DK"/>
              </w:rPr>
              <w:t>uretra¹</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rFonts w:eastAsia="Times New Roman" w:cstheme="minorHAnsi"/>
                <w:color w:val="000000"/>
                <w:sz w:val="24"/>
                <w:szCs w:val="24"/>
                <w:lang w:eastAsia="da-DK"/>
              </w:rPr>
            </w:pPr>
            <w:r w:rsidRPr="002F6BFC">
              <w:rPr>
                <w:rFonts w:eastAsia="Times New Roman" w:cstheme="minorHAnsi"/>
                <w:b/>
                <w:bCs/>
                <w:color w:val="000000"/>
                <w:sz w:val="24"/>
                <w:szCs w:val="24"/>
                <w:lang w:eastAsia="da-DK"/>
              </w:rPr>
              <w:t>cervix</w:t>
            </w:r>
          </w:p>
        </w:tc>
        <w:tc>
          <w:tcPr>
            <w:tcW w:w="173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rFonts w:eastAsia="Times New Roman" w:cstheme="minorHAnsi"/>
                <w:color w:val="000000"/>
                <w:sz w:val="24"/>
                <w:szCs w:val="24"/>
                <w:lang w:eastAsia="da-DK"/>
              </w:rPr>
            </w:pPr>
            <w:r w:rsidRPr="002F6BFC">
              <w:rPr>
                <w:rFonts w:eastAsia="Times New Roman" w:cstheme="minorHAnsi"/>
                <w:b/>
                <w:bCs/>
                <w:color w:val="000000"/>
                <w:sz w:val="24"/>
                <w:szCs w:val="24"/>
                <w:lang w:eastAsia="da-DK"/>
              </w:rPr>
              <w:t>rektum</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rFonts w:eastAsia="Times New Roman" w:cstheme="minorHAnsi"/>
                <w:color w:val="000000"/>
                <w:sz w:val="24"/>
                <w:szCs w:val="24"/>
                <w:lang w:eastAsia="da-DK"/>
              </w:rPr>
            </w:pPr>
            <w:r w:rsidRPr="002F6BFC">
              <w:rPr>
                <w:rFonts w:eastAsia="Times New Roman" w:cstheme="minorHAnsi"/>
                <w:b/>
                <w:bCs/>
                <w:color w:val="000000"/>
                <w:sz w:val="24"/>
                <w:szCs w:val="24"/>
                <w:lang w:eastAsia="da-DK"/>
              </w:rPr>
              <w:t>vagina²</w:t>
            </w:r>
          </w:p>
        </w:tc>
      </w:tr>
      <w:tr w:rsidR="008D5AF9" w:rsidRPr="002F6BFC" w:rsidTr="008D5AF9">
        <w:trPr>
          <w:trHeight w:val="469"/>
        </w:trPr>
        <w:tc>
          <w:tcPr>
            <w:tcW w:w="189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rFonts w:eastAsia="Times New Roman" w:cstheme="minorHAnsi"/>
                <w:color w:val="000000"/>
                <w:sz w:val="24"/>
                <w:szCs w:val="24"/>
                <w:lang w:eastAsia="da-DK"/>
              </w:rPr>
            </w:pPr>
            <w:r w:rsidRPr="002F6BFC">
              <w:rPr>
                <w:rFonts w:eastAsia="Times New Roman" w:cstheme="minorHAnsi"/>
                <w:color w:val="000000"/>
                <w:sz w:val="24"/>
                <w:szCs w:val="24"/>
                <w:lang w:eastAsia="da-DK"/>
              </w:rPr>
              <w:t>Mænd heteroseksuelle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rFonts w:eastAsia="Times New Roman" w:cstheme="minorHAnsi"/>
                <w:color w:val="000000"/>
                <w:sz w:val="24"/>
                <w:szCs w:val="24"/>
                <w:lang w:eastAsia="da-DK"/>
              </w:rPr>
            </w:pPr>
          </w:p>
        </w:tc>
        <w:tc>
          <w:tcPr>
            <w:tcW w:w="173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rFonts w:eastAsia="Times New Roman" w:cstheme="minorHAnsi"/>
                <w:color w:val="000000"/>
                <w:sz w:val="24"/>
                <w:szCs w:val="24"/>
                <w:lang w:eastAsia="da-DK"/>
              </w:rPr>
            </w:pPr>
            <w:r w:rsidRPr="002F6BFC">
              <w:rPr>
                <w:rFonts w:eastAsia="Times New Roman" w:cstheme="minorHAnsi"/>
                <w:color w:val="000000"/>
                <w:sz w:val="24"/>
                <w:szCs w:val="24"/>
                <w:lang w:eastAsia="da-DK"/>
              </w:rPr>
              <w: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rFonts w:eastAsia="Times New Roman" w:cstheme="minorHAnsi"/>
                <w:color w:val="000000"/>
                <w:sz w:val="24"/>
                <w:szCs w:val="24"/>
                <w:lang w:eastAsia="da-DK"/>
              </w:rPr>
            </w:pPr>
          </w:p>
        </w:tc>
        <w:tc>
          <w:tcPr>
            <w:tcW w:w="173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rFonts w:eastAsia="Times New Roman" w:cstheme="minorHAnsi"/>
                <w:color w:val="000000"/>
                <w:sz w:val="24"/>
                <w:szCs w:val="24"/>
                <w:lang w:eastAsia="da-DK"/>
              </w:rPr>
            </w:pPr>
          </w:p>
        </w:tc>
        <w:tc>
          <w:tcPr>
            <w:tcW w:w="173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rFonts w:eastAsia="Times New Roman" w:cstheme="minorHAnsi"/>
                <w:color w:val="000000"/>
                <w:sz w:val="24"/>
                <w:szCs w:val="24"/>
                <w:lang w:eastAsia="da-DK"/>
              </w:rPr>
            </w:pPr>
          </w:p>
        </w:tc>
      </w:tr>
      <w:tr w:rsidR="008D5AF9" w:rsidRPr="002F6BFC" w:rsidTr="008D5AF9">
        <w:trPr>
          <w:trHeight w:val="469"/>
        </w:trPr>
        <w:tc>
          <w:tcPr>
            <w:tcW w:w="189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rFonts w:eastAsia="Times New Roman" w:cstheme="minorHAnsi"/>
                <w:color w:val="000000"/>
                <w:sz w:val="24"/>
                <w:szCs w:val="24"/>
                <w:lang w:eastAsia="da-DK"/>
              </w:rPr>
            </w:pPr>
            <w:r w:rsidRPr="002F6BFC">
              <w:rPr>
                <w:rFonts w:eastAsia="Times New Roman" w:cstheme="minorHAnsi"/>
                <w:color w:val="000000"/>
                <w:sz w:val="24"/>
                <w:szCs w:val="24"/>
                <w:lang w:eastAsia="da-DK"/>
              </w:rPr>
              <w:t>Kvinder symptomatiske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rFonts w:eastAsia="Times New Roman" w:cstheme="minorHAnsi"/>
                <w:color w:val="000000"/>
                <w:sz w:val="24"/>
                <w:szCs w:val="24"/>
                <w:lang w:eastAsia="da-DK"/>
              </w:rPr>
            </w:pPr>
          </w:p>
        </w:tc>
        <w:tc>
          <w:tcPr>
            <w:tcW w:w="173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rFonts w:eastAsia="Times New Roman" w:cstheme="minorHAnsi"/>
                <w:color w:val="000000"/>
                <w:sz w:val="24"/>
                <w:szCs w:val="24"/>
                <w:lang w:eastAsia="da-DK"/>
              </w:rPr>
            </w:pPr>
            <w:r w:rsidRPr="002F6BFC">
              <w:rPr>
                <w:rFonts w:eastAsia="Times New Roman" w:cstheme="minorHAnsi"/>
                <w:color w:val="000000"/>
                <w:sz w:val="24"/>
                <w:szCs w:val="24"/>
                <w:lang w:eastAsia="da-DK"/>
              </w:rPr>
              <w: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rFonts w:eastAsia="Times New Roman" w:cstheme="minorHAnsi"/>
                <w:color w:val="000000"/>
                <w:sz w:val="24"/>
                <w:szCs w:val="24"/>
                <w:lang w:eastAsia="da-DK"/>
              </w:rPr>
            </w:pPr>
            <w:r w:rsidRPr="002F6BFC">
              <w:rPr>
                <w:rFonts w:eastAsia="Times New Roman" w:cstheme="minorHAnsi"/>
                <w:color w:val="000000"/>
                <w:sz w:val="24"/>
                <w:szCs w:val="24"/>
                <w:lang w:eastAsia="da-DK"/>
              </w:rPr>
              <w:t>+</w:t>
            </w:r>
          </w:p>
        </w:tc>
        <w:tc>
          <w:tcPr>
            <w:tcW w:w="173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rFonts w:eastAsia="Times New Roman" w:cstheme="minorHAnsi"/>
                <w:color w:val="000000"/>
                <w:sz w:val="24"/>
                <w:szCs w:val="24"/>
                <w:lang w:eastAsia="da-DK"/>
              </w:rPr>
            </w:pPr>
          </w:p>
        </w:tc>
        <w:tc>
          <w:tcPr>
            <w:tcW w:w="173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rFonts w:eastAsia="Times New Roman" w:cstheme="minorHAnsi"/>
                <w:color w:val="000000"/>
                <w:sz w:val="24"/>
                <w:szCs w:val="24"/>
                <w:lang w:eastAsia="da-DK"/>
              </w:rPr>
            </w:pPr>
          </w:p>
        </w:tc>
      </w:tr>
      <w:tr w:rsidR="008D5AF9" w:rsidRPr="002F6BFC" w:rsidTr="008D5AF9">
        <w:trPr>
          <w:trHeight w:val="469"/>
        </w:trPr>
        <w:tc>
          <w:tcPr>
            <w:tcW w:w="189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rFonts w:eastAsia="Times New Roman" w:cstheme="minorHAnsi"/>
                <w:color w:val="000000"/>
                <w:sz w:val="24"/>
                <w:szCs w:val="24"/>
                <w:lang w:eastAsia="da-DK"/>
              </w:rPr>
            </w:pPr>
            <w:r w:rsidRPr="002F6BFC">
              <w:rPr>
                <w:rFonts w:eastAsia="Times New Roman" w:cstheme="minorHAnsi"/>
                <w:color w:val="000000"/>
                <w:sz w:val="24"/>
                <w:szCs w:val="24"/>
                <w:lang w:eastAsia="da-DK"/>
              </w:rPr>
              <w:t>Kvinder asymptomatiske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rFonts w:eastAsia="Times New Roman" w:cstheme="minorHAnsi"/>
                <w:color w:val="000000"/>
                <w:sz w:val="24"/>
                <w:szCs w:val="24"/>
                <w:lang w:eastAsia="da-DK"/>
              </w:rPr>
            </w:pPr>
          </w:p>
        </w:tc>
        <w:tc>
          <w:tcPr>
            <w:tcW w:w="173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rFonts w:eastAsia="Times New Roman" w:cstheme="minorHAnsi"/>
                <w:color w:val="000000"/>
                <w:sz w:val="24"/>
                <w:szCs w:val="24"/>
                <w:lang w:eastAsia="da-DK"/>
              </w:rPr>
            </w:pPr>
          </w:p>
        </w:tc>
        <w:tc>
          <w:tcPr>
            <w:tcW w:w="17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rFonts w:eastAsia="Times New Roman" w:cstheme="minorHAnsi"/>
                <w:color w:val="000000"/>
                <w:sz w:val="24"/>
                <w:szCs w:val="24"/>
                <w:lang w:eastAsia="da-DK"/>
              </w:rPr>
            </w:pPr>
          </w:p>
        </w:tc>
        <w:tc>
          <w:tcPr>
            <w:tcW w:w="173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rFonts w:eastAsia="Times New Roman" w:cstheme="minorHAnsi"/>
                <w:color w:val="000000"/>
                <w:sz w:val="24"/>
                <w:szCs w:val="24"/>
                <w:lang w:eastAsia="da-DK"/>
              </w:rPr>
            </w:pPr>
          </w:p>
        </w:tc>
        <w:tc>
          <w:tcPr>
            <w:tcW w:w="173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rFonts w:eastAsia="Times New Roman" w:cstheme="minorHAnsi"/>
                <w:color w:val="000000"/>
                <w:sz w:val="24"/>
                <w:szCs w:val="24"/>
                <w:lang w:eastAsia="da-DK"/>
              </w:rPr>
            </w:pPr>
            <w:r w:rsidRPr="002F6BFC">
              <w:rPr>
                <w:rFonts w:eastAsia="Times New Roman" w:cstheme="minorHAnsi"/>
                <w:color w:val="000000"/>
                <w:sz w:val="24"/>
                <w:szCs w:val="24"/>
                <w:lang w:eastAsia="da-DK"/>
              </w:rPr>
              <w:t>+</w:t>
            </w:r>
          </w:p>
        </w:tc>
      </w:tr>
      <w:tr w:rsidR="008D5AF9" w:rsidRPr="002F6BFC" w:rsidTr="008D5AF9">
        <w:trPr>
          <w:trHeight w:val="469"/>
        </w:trPr>
        <w:tc>
          <w:tcPr>
            <w:tcW w:w="189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rFonts w:eastAsia="Times New Roman" w:cstheme="minorHAnsi"/>
                <w:color w:val="000000"/>
                <w:sz w:val="24"/>
                <w:szCs w:val="24"/>
                <w:lang w:eastAsia="da-DK"/>
              </w:rPr>
            </w:pPr>
            <w:r w:rsidRPr="002F6BFC">
              <w:rPr>
                <w:rFonts w:eastAsia="Times New Roman" w:cstheme="minorHAnsi"/>
                <w:color w:val="000000"/>
                <w:sz w:val="24"/>
                <w:szCs w:val="24"/>
                <w:lang w:eastAsia="da-DK"/>
              </w:rPr>
              <w:t xml:space="preserve">+ Oralsex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rFonts w:eastAsia="Times New Roman" w:cstheme="minorHAnsi"/>
                <w:color w:val="000000"/>
                <w:sz w:val="24"/>
                <w:szCs w:val="24"/>
                <w:lang w:eastAsia="da-DK"/>
              </w:rPr>
            </w:pPr>
            <w:r w:rsidRPr="002F6BFC">
              <w:rPr>
                <w:rFonts w:eastAsia="Times New Roman" w:cstheme="minorHAnsi"/>
                <w:color w:val="000000"/>
                <w:sz w:val="24"/>
                <w:szCs w:val="24"/>
                <w:lang w:eastAsia="da-DK"/>
              </w:rPr>
              <w:t>+</w:t>
            </w:r>
          </w:p>
        </w:tc>
        <w:tc>
          <w:tcPr>
            <w:tcW w:w="173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rFonts w:eastAsia="Times New Roman" w:cstheme="minorHAnsi"/>
                <w:color w:val="000000"/>
                <w:sz w:val="24"/>
                <w:szCs w:val="24"/>
                <w:lang w:eastAsia="da-DK"/>
              </w:rPr>
            </w:pPr>
          </w:p>
        </w:tc>
        <w:tc>
          <w:tcPr>
            <w:tcW w:w="17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rFonts w:eastAsia="Times New Roman" w:cstheme="minorHAnsi"/>
                <w:color w:val="000000"/>
                <w:sz w:val="24"/>
                <w:szCs w:val="24"/>
                <w:lang w:eastAsia="da-DK"/>
              </w:rPr>
            </w:pPr>
          </w:p>
        </w:tc>
        <w:tc>
          <w:tcPr>
            <w:tcW w:w="173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rFonts w:eastAsia="Times New Roman" w:cstheme="minorHAnsi"/>
                <w:color w:val="000000"/>
                <w:sz w:val="24"/>
                <w:szCs w:val="24"/>
                <w:lang w:eastAsia="da-DK"/>
              </w:rPr>
            </w:pPr>
          </w:p>
        </w:tc>
        <w:tc>
          <w:tcPr>
            <w:tcW w:w="173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rFonts w:eastAsia="Times New Roman" w:cstheme="minorHAnsi"/>
                <w:color w:val="000000"/>
                <w:sz w:val="24"/>
                <w:szCs w:val="24"/>
                <w:lang w:eastAsia="da-DK"/>
              </w:rPr>
            </w:pPr>
          </w:p>
        </w:tc>
      </w:tr>
      <w:tr w:rsidR="008D5AF9" w:rsidRPr="002F6BFC" w:rsidTr="008D5AF9">
        <w:trPr>
          <w:trHeight w:val="469"/>
        </w:trPr>
        <w:tc>
          <w:tcPr>
            <w:tcW w:w="189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rFonts w:eastAsia="Times New Roman" w:cstheme="minorHAnsi"/>
                <w:color w:val="000000"/>
                <w:sz w:val="24"/>
                <w:szCs w:val="24"/>
                <w:lang w:eastAsia="da-DK"/>
              </w:rPr>
            </w:pPr>
            <w:r w:rsidRPr="002F6BFC">
              <w:rPr>
                <w:rFonts w:eastAsia="Times New Roman" w:cstheme="minorHAnsi"/>
                <w:color w:val="000000"/>
                <w:sz w:val="24"/>
                <w:szCs w:val="24"/>
                <w:lang w:eastAsia="da-DK"/>
              </w:rPr>
              <w:t>+ Analsex</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rFonts w:eastAsia="Times New Roman" w:cstheme="minorHAnsi"/>
                <w:color w:val="000000"/>
                <w:sz w:val="24"/>
                <w:szCs w:val="24"/>
                <w:lang w:eastAsia="da-DK"/>
              </w:rPr>
            </w:pPr>
          </w:p>
        </w:tc>
        <w:tc>
          <w:tcPr>
            <w:tcW w:w="173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rFonts w:eastAsia="Times New Roman" w:cstheme="minorHAnsi"/>
                <w:color w:val="000000"/>
                <w:sz w:val="24"/>
                <w:szCs w:val="24"/>
                <w:lang w:eastAsia="da-DK"/>
              </w:rPr>
            </w:pPr>
          </w:p>
        </w:tc>
        <w:tc>
          <w:tcPr>
            <w:tcW w:w="17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rFonts w:eastAsia="Times New Roman" w:cstheme="minorHAnsi"/>
                <w:color w:val="000000"/>
                <w:sz w:val="24"/>
                <w:szCs w:val="24"/>
                <w:lang w:eastAsia="da-DK"/>
              </w:rPr>
            </w:pPr>
          </w:p>
        </w:tc>
        <w:tc>
          <w:tcPr>
            <w:tcW w:w="173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rFonts w:eastAsia="Times New Roman" w:cstheme="minorHAnsi"/>
                <w:color w:val="000000"/>
                <w:sz w:val="24"/>
                <w:szCs w:val="24"/>
                <w:lang w:eastAsia="da-DK"/>
              </w:rPr>
            </w:pPr>
            <w:r w:rsidRPr="002F6BFC">
              <w:rPr>
                <w:rFonts w:eastAsia="Times New Roman" w:cstheme="minorHAnsi"/>
                <w:color w:val="000000"/>
                <w:sz w:val="24"/>
                <w:szCs w:val="24"/>
                <w:lang w:eastAsia="da-DK"/>
              </w:rPr>
              <w:t>+</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rFonts w:eastAsia="Times New Roman" w:cstheme="minorHAnsi"/>
                <w:color w:val="000000"/>
                <w:sz w:val="24"/>
                <w:szCs w:val="24"/>
                <w:lang w:eastAsia="da-DK"/>
              </w:rPr>
            </w:pPr>
          </w:p>
        </w:tc>
      </w:tr>
      <w:tr w:rsidR="008D5AF9" w:rsidRPr="002F6BFC" w:rsidTr="008D5AF9">
        <w:trPr>
          <w:trHeight w:val="469"/>
        </w:trPr>
        <w:tc>
          <w:tcPr>
            <w:tcW w:w="189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rFonts w:eastAsia="Times New Roman" w:cstheme="minorHAnsi"/>
                <w:color w:val="000000"/>
                <w:sz w:val="24"/>
                <w:szCs w:val="24"/>
                <w:lang w:eastAsia="da-DK"/>
              </w:rPr>
            </w:pPr>
            <w:r w:rsidRPr="002F6BFC">
              <w:rPr>
                <w:rFonts w:eastAsia="Times New Roman" w:cstheme="minorHAnsi"/>
                <w:color w:val="000000"/>
                <w:sz w:val="24"/>
                <w:szCs w:val="24"/>
                <w:lang w:eastAsia="da-DK"/>
              </w:rPr>
              <w:t>MSM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rFonts w:eastAsia="Times New Roman" w:cstheme="minorHAnsi"/>
                <w:color w:val="000000"/>
                <w:sz w:val="24"/>
                <w:szCs w:val="24"/>
                <w:lang w:eastAsia="da-DK"/>
              </w:rPr>
            </w:pPr>
            <w:r w:rsidRPr="002F6BFC">
              <w:rPr>
                <w:rFonts w:eastAsia="Times New Roman" w:cstheme="minorHAnsi"/>
                <w:color w:val="000000"/>
                <w:sz w:val="24"/>
                <w:szCs w:val="24"/>
                <w:lang w:eastAsia="da-DK"/>
              </w:rPr>
              <w:t>+</w:t>
            </w:r>
          </w:p>
        </w:tc>
        <w:tc>
          <w:tcPr>
            <w:tcW w:w="173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rFonts w:eastAsia="Times New Roman" w:cstheme="minorHAnsi"/>
                <w:color w:val="000000"/>
                <w:sz w:val="24"/>
                <w:szCs w:val="24"/>
                <w:lang w:eastAsia="da-DK"/>
              </w:rPr>
            </w:pPr>
            <w:r w:rsidRPr="002F6BFC">
              <w:rPr>
                <w:rFonts w:eastAsia="Times New Roman" w:cstheme="minorHAnsi"/>
                <w:color w:val="000000"/>
                <w:sz w:val="24"/>
                <w:szCs w:val="24"/>
                <w:lang w:eastAsia="da-DK"/>
              </w:rPr>
              <w: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rFonts w:eastAsia="Times New Roman" w:cstheme="minorHAnsi"/>
                <w:color w:val="000000"/>
                <w:sz w:val="24"/>
                <w:szCs w:val="24"/>
                <w:lang w:eastAsia="da-DK"/>
              </w:rPr>
            </w:pPr>
          </w:p>
        </w:tc>
        <w:tc>
          <w:tcPr>
            <w:tcW w:w="173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rFonts w:eastAsia="Times New Roman" w:cstheme="minorHAnsi"/>
                <w:color w:val="000000"/>
                <w:sz w:val="24"/>
                <w:szCs w:val="24"/>
                <w:lang w:eastAsia="da-DK"/>
              </w:rPr>
            </w:pPr>
            <w:r w:rsidRPr="002F6BFC">
              <w:rPr>
                <w:rFonts w:eastAsia="Times New Roman" w:cstheme="minorHAnsi"/>
                <w:color w:val="000000"/>
                <w:sz w:val="24"/>
                <w:szCs w:val="24"/>
                <w:lang w:eastAsia="da-DK"/>
              </w:rPr>
              <w:t>+</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rFonts w:eastAsia="Times New Roman" w:cstheme="minorHAnsi"/>
                <w:color w:val="000000"/>
                <w:sz w:val="24"/>
                <w:szCs w:val="24"/>
                <w:lang w:eastAsia="da-DK"/>
              </w:rPr>
            </w:pPr>
          </w:p>
        </w:tc>
      </w:tr>
      <w:tr w:rsidR="008D5AF9" w:rsidRPr="002F6BFC" w:rsidTr="008D5AF9">
        <w:trPr>
          <w:trHeight w:val="818"/>
        </w:trPr>
        <w:tc>
          <w:tcPr>
            <w:tcW w:w="189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655A3F" w:rsidP="008D5AF9">
            <w:pPr>
              <w:rPr>
                <w:rFonts w:eastAsia="Times New Roman" w:cstheme="minorHAnsi"/>
                <w:color w:val="000000"/>
                <w:sz w:val="24"/>
                <w:szCs w:val="24"/>
                <w:lang w:eastAsia="da-DK"/>
              </w:rPr>
            </w:pPr>
            <w:r>
              <w:rPr>
                <w:rFonts w:eastAsia="Times New Roman" w:cstheme="minorHAnsi"/>
                <w:color w:val="000000"/>
                <w:sz w:val="24"/>
                <w:szCs w:val="24"/>
                <w:lang w:eastAsia="da-DK"/>
              </w:rPr>
              <w:t>S</w:t>
            </w:r>
            <w:r w:rsidR="008D5AF9" w:rsidRPr="002F6BFC">
              <w:rPr>
                <w:rFonts w:eastAsia="Times New Roman" w:cstheme="minorHAnsi"/>
                <w:color w:val="000000"/>
                <w:sz w:val="24"/>
                <w:szCs w:val="24"/>
                <w:lang w:eastAsia="da-DK"/>
              </w:rPr>
              <w:t>exarbejdere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rFonts w:eastAsia="Times New Roman" w:cstheme="minorHAnsi"/>
                <w:color w:val="000000"/>
                <w:sz w:val="24"/>
                <w:szCs w:val="24"/>
                <w:lang w:eastAsia="da-DK"/>
              </w:rPr>
            </w:pPr>
            <w:r w:rsidRPr="002F6BFC">
              <w:rPr>
                <w:rFonts w:eastAsia="Times New Roman" w:cstheme="minorHAnsi"/>
                <w:color w:val="000000"/>
                <w:sz w:val="24"/>
                <w:szCs w:val="24"/>
                <w:lang w:eastAsia="da-DK"/>
              </w:rPr>
              <w:t>+</w:t>
            </w:r>
          </w:p>
        </w:tc>
        <w:tc>
          <w:tcPr>
            <w:tcW w:w="173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rFonts w:eastAsia="Times New Roman" w:cstheme="minorHAnsi"/>
                <w:color w:val="000000"/>
                <w:sz w:val="24"/>
                <w:szCs w:val="24"/>
                <w:lang w:eastAsia="da-DK"/>
              </w:rPr>
            </w:pPr>
            <w:r w:rsidRPr="002F6BFC">
              <w:rPr>
                <w:rFonts w:eastAsia="Times New Roman" w:cstheme="minorHAnsi"/>
                <w:color w:val="000000"/>
                <w:sz w:val="24"/>
                <w:szCs w:val="24"/>
                <w:lang w:eastAsia="da-DK"/>
              </w:rPr>
              <w: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rFonts w:eastAsia="Times New Roman" w:cstheme="minorHAnsi"/>
                <w:color w:val="000000"/>
                <w:sz w:val="24"/>
                <w:szCs w:val="24"/>
                <w:lang w:eastAsia="da-DK"/>
              </w:rPr>
            </w:pPr>
            <w:r w:rsidRPr="002F6BFC">
              <w:rPr>
                <w:rFonts w:eastAsia="Times New Roman" w:cstheme="minorHAnsi"/>
                <w:color w:val="000000"/>
                <w:sz w:val="24"/>
                <w:szCs w:val="24"/>
                <w:lang w:eastAsia="da-DK"/>
              </w:rPr>
              <w:t>+</w:t>
            </w:r>
          </w:p>
        </w:tc>
        <w:tc>
          <w:tcPr>
            <w:tcW w:w="173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rFonts w:eastAsia="Times New Roman" w:cstheme="minorHAnsi"/>
                <w:color w:val="000000"/>
                <w:sz w:val="24"/>
                <w:szCs w:val="24"/>
                <w:lang w:eastAsia="da-DK"/>
              </w:rPr>
            </w:pPr>
            <w:r w:rsidRPr="002F6BFC">
              <w:rPr>
                <w:rFonts w:eastAsia="Times New Roman" w:cstheme="minorHAnsi"/>
                <w:color w:val="000000"/>
                <w:sz w:val="24"/>
                <w:szCs w:val="24"/>
                <w:lang w:eastAsia="da-DK"/>
              </w:rPr>
              <w:t>+</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rFonts w:eastAsia="Times New Roman" w:cstheme="minorHAnsi"/>
                <w:color w:val="000000"/>
                <w:sz w:val="24"/>
                <w:szCs w:val="24"/>
                <w:lang w:eastAsia="da-DK"/>
              </w:rPr>
            </w:pPr>
          </w:p>
        </w:tc>
      </w:tr>
    </w:tbl>
    <w:p w:rsidR="008D5AF9" w:rsidRPr="009778C9" w:rsidRDefault="008D5AF9" w:rsidP="008D5AF9">
      <w:pPr>
        <w:pStyle w:val="Ingenafstand"/>
      </w:pPr>
      <w:r w:rsidRPr="009778C9">
        <w:t>MSM, mænd, der har sex med mænd; NAT, nukleinsyre-amplifikations-teknik</w:t>
      </w:r>
    </w:p>
    <w:p w:rsidR="008D5AF9" w:rsidRPr="009778C9" w:rsidRDefault="008D5AF9" w:rsidP="008D5AF9">
      <w:pPr>
        <w:pStyle w:val="Ingenafstand"/>
      </w:pPr>
      <w:r w:rsidRPr="009778C9">
        <w:rPr>
          <w:rFonts w:cstheme="minorHAnsi"/>
        </w:rPr>
        <w:t>¹</w:t>
      </w:r>
      <w:r w:rsidRPr="009778C9">
        <w:t xml:space="preserve"> enten urin eller uretral podning</w:t>
      </w:r>
    </w:p>
    <w:p w:rsidR="008D5AF9" w:rsidRPr="009778C9" w:rsidRDefault="008D5AF9" w:rsidP="008D5AF9">
      <w:pPr>
        <w:pStyle w:val="Ingenafstand"/>
      </w:pPr>
      <w:r w:rsidRPr="009778C9">
        <w:rPr>
          <w:rFonts w:cstheme="minorHAnsi"/>
        </w:rPr>
        <w:t>²</w:t>
      </w:r>
      <w:r w:rsidRPr="009778C9">
        <w:t xml:space="preserve"> selvtagen</w:t>
      </w:r>
    </w:p>
    <w:p w:rsidR="008D5AF9" w:rsidRPr="002F6BFC" w:rsidRDefault="008D5AF9" w:rsidP="008D5AF9">
      <w:pPr>
        <w:pStyle w:val="Ingenafstand"/>
        <w:rPr>
          <w:sz w:val="24"/>
          <w:szCs w:val="24"/>
        </w:rPr>
      </w:pPr>
    </w:p>
    <w:p w:rsidR="008D5AF9" w:rsidRDefault="008D5AF9" w:rsidP="008D5AF9">
      <w:pPr>
        <w:pStyle w:val="Ingenafstand"/>
        <w:rPr>
          <w:sz w:val="24"/>
          <w:szCs w:val="24"/>
        </w:rPr>
      </w:pPr>
      <w:r w:rsidRPr="00915909">
        <w:rPr>
          <w:sz w:val="24"/>
          <w:szCs w:val="24"/>
        </w:rPr>
        <w:t xml:space="preserve"> </w:t>
      </w:r>
    </w:p>
    <w:p w:rsidR="008D5AF9" w:rsidRDefault="008D5AF9" w:rsidP="008D5AF9">
      <w:pPr>
        <w:pStyle w:val="Ingenafstand"/>
        <w:rPr>
          <w:sz w:val="24"/>
          <w:szCs w:val="24"/>
        </w:rPr>
      </w:pPr>
    </w:p>
    <w:p w:rsidR="008D5AF9" w:rsidRPr="003E1F62" w:rsidRDefault="008D5AF9" w:rsidP="008D5AF9">
      <w:pPr>
        <w:pStyle w:val="Ingenafstand"/>
        <w:rPr>
          <w:b/>
          <w:bCs/>
          <w:sz w:val="24"/>
          <w:szCs w:val="24"/>
        </w:rPr>
      </w:pPr>
      <w:r w:rsidRPr="003E1F62">
        <w:rPr>
          <w:b/>
          <w:bCs/>
          <w:sz w:val="24"/>
          <w:szCs w:val="24"/>
        </w:rPr>
        <w:t>Kontrol</w:t>
      </w:r>
      <w:r>
        <w:rPr>
          <w:b/>
          <w:bCs/>
          <w:sz w:val="24"/>
          <w:szCs w:val="24"/>
        </w:rPr>
        <w:t xml:space="preserve"> </w:t>
      </w:r>
    </w:p>
    <w:p w:rsidR="008D5AF9" w:rsidRPr="002F6BFC" w:rsidRDefault="008D5AF9" w:rsidP="008D5AF9">
      <w:pPr>
        <w:pStyle w:val="Ingenafstand"/>
        <w:rPr>
          <w:sz w:val="24"/>
          <w:szCs w:val="24"/>
        </w:rPr>
      </w:pPr>
      <w:r w:rsidRPr="002F6BFC">
        <w:rPr>
          <w:sz w:val="24"/>
          <w:szCs w:val="24"/>
        </w:rPr>
        <w:t>Behandlingseffekten bør grundet risiko for resistens monitoreres med kontrolpodning til GK-NAT 2-3 uger efter behandling fra fauces, rektum, cervix og uretra.</w:t>
      </w:r>
    </w:p>
    <w:p w:rsidR="008D5AF9" w:rsidRPr="002F6BFC" w:rsidRDefault="008D5AF9" w:rsidP="008D5AF9">
      <w:pPr>
        <w:pStyle w:val="Ingenafstand"/>
        <w:rPr>
          <w:sz w:val="24"/>
          <w:szCs w:val="24"/>
        </w:rPr>
      </w:pPr>
    </w:p>
    <w:p w:rsidR="008D5AF9" w:rsidRPr="00915909" w:rsidRDefault="008D5AF9" w:rsidP="008D5AF9">
      <w:pPr>
        <w:rPr>
          <w:sz w:val="24"/>
          <w:szCs w:val="24"/>
        </w:rPr>
      </w:pPr>
      <w:r w:rsidRPr="00915909">
        <w:rPr>
          <w:sz w:val="24"/>
          <w:szCs w:val="24"/>
        </w:rPr>
        <w:t>Patienten frarådes samleje ind til der foreligger negative kontrolpodningssvar.</w:t>
      </w:r>
    </w:p>
    <w:p w:rsidR="008D5AF9" w:rsidRPr="00915909" w:rsidRDefault="008D5AF9" w:rsidP="008D5AF9">
      <w:pPr>
        <w:rPr>
          <w:sz w:val="24"/>
          <w:szCs w:val="24"/>
        </w:rPr>
      </w:pPr>
      <w:r w:rsidRPr="00915909">
        <w:rPr>
          <w:sz w:val="24"/>
          <w:szCs w:val="24"/>
        </w:rPr>
        <w:t xml:space="preserve">Smitteopsporing bør udføres, og tilstanden skal af den behandlende læge anmeldes til Epidemiologisk afdeling, Statens Seruminstitut </w:t>
      </w:r>
      <w:r>
        <w:rPr>
          <w:noProof/>
          <w:sz w:val="24"/>
          <w:szCs w:val="24"/>
        </w:rPr>
        <w:t>(5)</w:t>
      </w:r>
      <w:r w:rsidRPr="00915909">
        <w:rPr>
          <w:sz w:val="24"/>
          <w:szCs w:val="24"/>
        </w:rPr>
        <w:t>.</w:t>
      </w:r>
    </w:p>
    <w:p w:rsidR="008D5AF9" w:rsidRDefault="008D5AF9" w:rsidP="008D5AF9">
      <w:pPr>
        <w:rPr>
          <w:sz w:val="24"/>
          <w:szCs w:val="24"/>
        </w:rPr>
      </w:pPr>
    </w:p>
    <w:p w:rsidR="008D5AF9" w:rsidRPr="00915909" w:rsidRDefault="008D5AF9" w:rsidP="008D5AF9">
      <w:pPr>
        <w:rPr>
          <w:sz w:val="24"/>
          <w:szCs w:val="24"/>
        </w:rPr>
      </w:pPr>
    </w:p>
    <w:tbl>
      <w:tblPr>
        <w:tblStyle w:val="Tabel-Gitter"/>
        <w:tblpPr w:leftFromText="141" w:rightFromText="141" w:vertAnchor="text" w:tblpY="46"/>
        <w:tblW w:w="10450" w:type="dxa"/>
        <w:tblLook w:val="04A0" w:firstRow="1" w:lastRow="0" w:firstColumn="1" w:lastColumn="0" w:noHBand="0" w:noVBand="1"/>
      </w:tblPr>
      <w:tblGrid>
        <w:gridCol w:w="3483"/>
        <w:gridCol w:w="3483"/>
        <w:gridCol w:w="3484"/>
      </w:tblGrid>
      <w:tr w:rsidR="008D5AF9" w:rsidTr="008D5AF9">
        <w:trPr>
          <w:trHeight w:val="278"/>
        </w:trPr>
        <w:tc>
          <w:tcPr>
            <w:tcW w:w="10450" w:type="dxa"/>
            <w:gridSpan w:val="3"/>
            <w:shd w:val="clear" w:color="auto" w:fill="auto"/>
          </w:tcPr>
          <w:p w:rsidR="008D5AF9" w:rsidRDefault="008D5AF9" w:rsidP="008D5AF9">
            <w:pPr>
              <w:pStyle w:val="Ingenafstand"/>
              <w:rPr>
                <w:sz w:val="24"/>
                <w:szCs w:val="24"/>
              </w:rPr>
            </w:pPr>
            <w:r w:rsidRPr="00455765">
              <w:rPr>
                <w:b/>
                <w:bCs/>
                <w:sz w:val="24"/>
                <w:szCs w:val="24"/>
              </w:rPr>
              <w:lastRenderedPageBreak/>
              <w:t xml:space="preserve">Tabel </w:t>
            </w:r>
            <w:r>
              <w:rPr>
                <w:b/>
                <w:bCs/>
                <w:sz w:val="24"/>
                <w:szCs w:val="24"/>
              </w:rPr>
              <w:t>2</w:t>
            </w:r>
            <w:r>
              <w:rPr>
                <w:sz w:val="24"/>
                <w:szCs w:val="24"/>
              </w:rPr>
              <w:t xml:space="preserve"> Behandling af gonorré</w:t>
            </w:r>
          </w:p>
          <w:p w:rsidR="008D5AF9" w:rsidRDefault="008D5AF9" w:rsidP="008D5AF9">
            <w:pPr>
              <w:pStyle w:val="Ingenafstand"/>
              <w:rPr>
                <w:sz w:val="24"/>
                <w:szCs w:val="24"/>
              </w:rPr>
            </w:pPr>
          </w:p>
        </w:tc>
      </w:tr>
      <w:tr w:rsidR="008D5AF9" w:rsidTr="008D5AF9">
        <w:trPr>
          <w:trHeight w:val="278"/>
        </w:trPr>
        <w:tc>
          <w:tcPr>
            <w:tcW w:w="3483" w:type="dxa"/>
            <w:tcBorders>
              <w:bottom w:val="single" w:sz="4" w:space="0" w:color="auto"/>
            </w:tcBorders>
          </w:tcPr>
          <w:p w:rsidR="008D5AF9" w:rsidRDefault="008D5AF9" w:rsidP="008D5AF9">
            <w:pPr>
              <w:pStyle w:val="Ingenafstand"/>
              <w:rPr>
                <w:sz w:val="24"/>
                <w:szCs w:val="24"/>
              </w:rPr>
            </w:pPr>
          </w:p>
        </w:tc>
        <w:tc>
          <w:tcPr>
            <w:tcW w:w="3483" w:type="dxa"/>
            <w:tcBorders>
              <w:bottom w:val="single" w:sz="4" w:space="0" w:color="auto"/>
            </w:tcBorders>
          </w:tcPr>
          <w:p w:rsidR="008D5AF9" w:rsidRDefault="008D5AF9" w:rsidP="008D5AF9">
            <w:pPr>
              <w:pStyle w:val="Ingenafstand"/>
              <w:rPr>
                <w:sz w:val="24"/>
                <w:szCs w:val="24"/>
              </w:rPr>
            </w:pPr>
            <w:r>
              <w:rPr>
                <w:sz w:val="24"/>
                <w:szCs w:val="24"/>
              </w:rPr>
              <w:t>Førstevalgs behandling</w:t>
            </w:r>
          </w:p>
        </w:tc>
        <w:tc>
          <w:tcPr>
            <w:tcW w:w="3484" w:type="dxa"/>
            <w:tcBorders>
              <w:bottom w:val="single" w:sz="4" w:space="0" w:color="auto"/>
            </w:tcBorders>
          </w:tcPr>
          <w:p w:rsidR="008D5AF9" w:rsidRDefault="008D5AF9" w:rsidP="008D5AF9">
            <w:pPr>
              <w:pStyle w:val="Ingenafstand"/>
              <w:rPr>
                <w:sz w:val="24"/>
                <w:szCs w:val="24"/>
              </w:rPr>
            </w:pPr>
            <w:r>
              <w:rPr>
                <w:sz w:val="24"/>
                <w:szCs w:val="24"/>
              </w:rPr>
              <w:t>Alternativ behandling</w:t>
            </w:r>
          </w:p>
        </w:tc>
      </w:tr>
      <w:tr w:rsidR="008D5AF9" w:rsidTr="008D5AF9">
        <w:trPr>
          <w:trHeight w:val="572"/>
        </w:trPr>
        <w:tc>
          <w:tcPr>
            <w:tcW w:w="3483" w:type="dxa"/>
            <w:tcBorders>
              <w:top w:val="single" w:sz="4" w:space="0" w:color="auto"/>
              <w:left w:val="single" w:sz="4" w:space="0" w:color="auto"/>
              <w:bottom w:val="nil"/>
              <w:right w:val="nil"/>
            </w:tcBorders>
          </w:tcPr>
          <w:p w:rsidR="008D5AF9" w:rsidRDefault="008D5AF9" w:rsidP="008D5AF9">
            <w:pPr>
              <w:pStyle w:val="Ingenafstand"/>
              <w:rPr>
                <w:sz w:val="24"/>
                <w:szCs w:val="24"/>
              </w:rPr>
            </w:pPr>
            <w:r>
              <w:rPr>
                <w:sz w:val="24"/>
                <w:szCs w:val="24"/>
              </w:rPr>
              <w:t>Ukompliceret urogenital og svælg gonorré</w:t>
            </w:r>
          </w:p>
        </w:tc>
        <w:tc>
          <w:tcPr>
            <w:tcW w:w="3483" w:type="dxa"/>
            <w:tcBorders>
              <w:top w:val="single" w:sz="4" w:space="0" w:color="auto"/>
              <w:left w:val="nil"/>
              <w:bottom w:val="nil"/>
              <w:right w:val="nil"/>
            </w:tcBorders>
          </w:tcPr>
          <w:p w:rsidR="008D5AF9" w:rsidRPr="00562D57" w:rsidRDefault="008D5AF9" w:rsidP="008D5AF9">
            <w:pPr>
              <w:pStyle w:val="Ingenafstand"/>
              <w:rPr>
                <w:sz w:val="24"/>
                <w:szCs w:val="24"/>
              </w:rPr>
            </w:pPr>
            <w:r w:rsidRPr="00562D57">
              <w:rPr>
                <w:sz w:val="24"/>
                <w:szCs w:val="24"/>
              </w:rPr>
              <w:t>Inj. ceftriaxon 500 mg i</w:t>
            </w:r>
            <w:r>
              <w:rPr>
                <w:sz w:val="24"/>
                <w:szCs w:val="24"/>
              </w:rPr>
              <w:t>.</w:t>
            </w:r>
            <w:r w:rsidRPr="00562D57">
              <w:rPr>
                <w:sz w:val="24"/>
                <w:szCs w:val="24"/>
              </w:rPr>
              <w:t>m</w:t>
            </w:r>
            <w:r>
              <w:rPr>
                <w:sz w:val="24"/>
                <w:szCs w:val="24"/>
              </w:rPr>
              <w:t>.</w:t>
            </w:r>
            <w:r w:rsidRPr="00562D57">
              <w:rPr>
                <w:sz w:val="24"/>
                <w:szCs w:val="24"/>
              </w:rPr>
              <w:t xml:space="preserve"> </w:t>
            </w:r>
            <w:r>
              <w:rPr>
                <w:sz w:val="24"/>
                <w:szCs w:val="24"/>
              </w:rPr>
              <w:t>s</w:t>
            </w:r>
            <w:r w:rsidRPr="00562D57">
              <w:rPr>
                <w:sz w:val="24"/>
                <w:szCs w:val="24"/>
              </w:rPr>
              <w:t>om</w:t>
            </w:r>
            <w:r>
              <w:rPr>
                <w:sz w:val="24"/>
                <w:szCs w:val="24"/>
              </w:rPr>
              <w:t xml:space="preserve"> engangsdosis</w:t>
            </w:r>
            <w:r>
              <w:rPr>
                <w:rFonts w:cstheme="minorHAnsi"/>
                <w:sz w:val="24"/>
                <w:szCs w:val="24"/>
              </w:rPr>
              <w:t xml:space="preserve">¹ </w:t>
            </w:r>
            <w:r>
              <w:rPr>
                <w:rFonts w:cstheme="minorHAnsi"/>
                <w:noProof/>
                <w:sz w:val="24"/>
                <w:szCs w:val="24"/>
              </w:rPr>
              <w:t>(4)</w:t>
            </w:r>
          </w:p>
        </w:tc>
        <w:tc>
          <w:tcPr>
            <w:tcW w:w="3484" w:type="dxa"/>
            <w:tcBorders>
              <w:top w:val="single" w:sz="4" w:space="0" w:color="auto"/>
              <w:left w:val="nil"/>
              <w:bottom w:val="nil"/>
              <w:right w:val="single" w:sz="4" w:space="0" w:color="auto"/>
            </w:tcBorders>
          </w:tcPr>
          <w:p w:rsidR="008D5AF9" w:rsidRDefault="008D5AF9" w:rsidP="008D5AF9">
            <w:pPr>
              <w:pStyle w:val="Ingenafstand"/>
              <w:rPr>
                <w:rFonts w:cstheme="minorHAnsi"/>
                <w:sz w:val="24"/>
                <w:szCs w:val="24"/>
              </w:rPr>
            </w:pPr>
            <w:r>
              <w:rPr>
                <w:sz w:val="24"/>
                <w:szCs w:val="24"/>
              </w:rPr>
              <w:t>Tbl. ciprofloxaxin 500 mg som engangsdosis</w:t>
            </w:r>
            <w:r>
              <w:rPr>
                <w:rFonts w:cstheme="minorHAnsi"/>
                <w:sz w:val="24"/>
                <w:szCs w:val="24"/>
              </w:rPr>
              <w:t xml:space="preserve">² </w:t>
            </w:r>
            <w:r>
              <w:rPr>
                <w:rFonts w:cstheme="minorHAnsi"/>
                <w:noProof/>
                <w:sz w:val="24"/>
                <w:szCs w:val="24"/>
              </w:rPr>
              <w:t>(3)</w:t>
            </w:r>
          </w:p>
          <w:p w:rsidR="008D5AF9" w:rsidRDefault="008D5AF9" w:rsidP="008D5AF9">
            <w:pPr>
              <w:pStyle w:val="Ingenafstand"/>
              <w:rPr>
                <w:sz w:val="24"/>
                <w:szCs w:val="24"/>
              </w:rPr>
            </w:pPr>
          </w:p>
        </w:tc>
      </w:tr>
      <w:tr w:rsidR="008D5AF9" w:rsidTr="008D5AF9">
        <w:trPr>
          <w:trHeight w:val="572"/>
        </w:trPr>
        <w:tc>
          <w:tcPr>
            <w:tcW w:w="3483" w:type="dxa"/>
            <w:tcBorders>
              <w:top w:val="nil"/>
              <w:left w:val="single" w:sz="4" w:space="0" w:color="auto"/>
              <w:bottom w:val="nil"/>
              <w:right w:val="nil"/>
            </w:tcBorders>
          </w:tcPr>
          <w:p w:rsidR="008D5AF9" w:rsidRDefault="008D5AF9" w:rsidP="008D5AF9">
            <w:pPr>
              <w:pStyle w:val="Ingenafstand"/>
              <w:rPr>
                <w:sz w:val="24"/>
                <w:szCs w:val="24"/>
              </w:rPr>
            </w:pPr>
            <w:r>
              <w:rPr>
                <w:sz w:val="24"/>
                <w:szCs w:val="24"/>
              </w:rPr>
              <w:t>Ved allergi for betalaktam AB (kun udslæt)</w:t>
            </w:r>
          </w:p>
        </w:tc>
        <w:tc>
          <w:tcPr>
            <w:tcW w:w="3483" w:type="dxa"/>
            <w:tcBorders>
              <w:top w:val="nil"/>
              <w:left w:val="nil"/>
              <w:bottom w:val="nil"/>
              <w:right w:val="nil"/>
            </w:tcBorders>
          </w:tcPr>
          <w:p w:rsidR="008D5AF9" w:rsidRDefault="008D5AF9" w:rsidP="008D5AF9">
            <w:pPr>
              <w:pStyle w:val="Ingenafstand"/>
              <w:rPr>
                <w:sz w:val="24"/>
                <w:szCs w:val="24"/>
              </w:rPr>
            </w:pPr>
            <w:r>
              <w:rPr>
                <w:sz w:val="24"/>
                <w:szCs w:val="24"/>
              </w:rPr>
              <w:t>Som ukompliceret GK men under i.v. adrenalin beredsskab</w:t>
            </w:r>
          </w:p>
          <w:p w:rsidR="008D5AF9" w:rsidRDefault="008D5AF9" w:rsidP="008D5AF9">
            <w:pPr>
              <w:pStyle w:val="Ingenafstand"/>
              <w:rPr>
                <w:sz w:val="24"/>
                <w:szCs w:val="24"/>
              </w:rPr>
            </w:pPr>
          </w:p>
        </w:tc>
        <w:tc>
          <w:tcPr>
            <w:tcW w:w="3484" w:type="dxa"/>
            <w:tcBorders>
              <w:top w:val="nil"/>
              <w:left w:val="nil"/>
              <w:bottom w:val="nil"/>
              <w:right w:val="single" w:sz="4" w:space="0" w:color="auto"/>
            </w:tcBorders>
          </w:tcPr>
          <w:p w:rsidR="008D5AF9" w:rsidRDefault="008D5AF9" w:rsidP="008D5AF9">
            <w:pPr>
              <w:pStyle w:val="Ingenafstand"/>
              <w:rPr>
                <w:sz w:val="24"/>
                <w:szCs w:val="24"/>
              </w:rPr>
            </w:pPr>
            <w:r>
              <w:rPr>
                <w:sz w:val="24"/>
                <w:szCs w:val="24"/>
              </w:rPr>
              <w:t xml:space="preserve">           -II-</w:t>
            </w:r>
          </w:p>
        </w:tc>
      </w:tr>
      <w:tr w:rsidR="008D5AF9" w:rsidRPr="001167B7" w:rsidTr="008D5AF9">
        <w:trPr>
          <w:trHeight w:val="850"/>
        </w:trPr>
        <w:tc>
          <w:tcPr>
            <w:tcW w:w="3483" w:type="dxa"/>
            <w:tcBorders>
              <w:top w:val="nil"/>
              <w:left w:val="single" w:sz="4" w:space="0" w:color="auto"/>
              <w:bottom w:val="nil"/>
              <w:right w:val="nil"/>
            </w:tcBorders>
          </w:tcPr>
          <w:p w:rsidR="008D5AF9" w:rsidRDefault="008D5AF9" w:rsidP="008D5AF9">
            <w:pPr>
              <w:pStyle w:val="Ingenafstand"/>
              <w:rPr>
                <w:sz w:val="24"/>
                <w:szCs w:val="24"/>
              </w:rPr>
            </w:pPr>
            <w:r>
              <w:rPr>
                <w:sz w:val="24"/>
                <w:szCs w:val="24"/>
              </w:rPr>
              <w:t>Ved type 1 penicillinallergi</w:t>
            </w:r>
          </w:p>
        </w:tc>
        <w:tc>
          <w:tcPr>
            <w:tcW w:w="3483" w:type="dxa"/>
            <w:tcBorders>
              <w:top w:val="nil"/>
              <w:left w:val="nil"/>
              <w:bottom w:val="nil"/>
              <w:right w:val="nil"/>
            </w:tcBorders>
          </w:tcPr>
          <w:p w:rsidR="008D5AF9" w:rsidRDefault="008D5AF9" w:rsidP="008D5AF9">
            <w:pPr>
              <w:pStyle w:val="Ingenafstand"/>
              <w:rPr>
                <w:sz w:val="24"/>
                <w:szCs w:val="24"/>
              </w:rPr>
            </w:pPr>
            <w:r w:rsidRPr="001167B7">
              <w:rPr>
                <w:sz w:val="24"/>
                <w:szCs w:val="24"/>
              </w:rPr>
              <w:t>Inj. gentamicin 240 mg i</w:t>
            </w:r>
            <w:r>
              <w:rPr>
                <w:sz w:val="24"/>
                <w:szCs w:val="24"/>
              </w:rPr>
              <w:t>.</w:t>
            </w:r>
            <w:r w:rsidRPr="001167B7">
              <w:rPr>
                <w:sz w:val="24"/>
                <w:szCs w:val="24"/>
              </w:rPr>
              <w:t>m</w:t>
            </w:r>
            <w:r>
              <w:rPr>
                <w:sz w:val="24"/>
                <w:szCs w:val="24"/>
              </w:rPr>
              <w:t>.</w:t>
            </w:r>
            <w:r w:rsidRPr="001167B7">
              <w:rPr>
                <w:sz w:val="24"/>
                <w:szCs w:val="24"/>
              </w:rPr>
              <w:t xml:space="preserve"> + 2 gram azithromycin p</w:t>
            </w:r>
            <w:r>
              <w:rPr>
                <w:sz w:val="24"/>
                <w:szCs w:val="24"/>
              </w:rPr>
              <w:t>.</w:t>
            </w:r>
            <w:r w:rsidRPr="001167B7">
              <w:rPr>
                <w:sz w:val="24"/>
                <w:szCs w:val="24"/>
              </w:rPr>
              <w:t>o</w:t>
            </w:r>
            <w:r>
              <w:rPr>
                <w:sz w:val="24"/>
                <w:szCs w:val="24"/>
              </w:rPr>
              <w:t>.</w:t>
            </w:r>
            <w:r w:rsidRPr="001167B7">
              <w:rPr>
                <w:sz w:val="24"/>
                <w:szCs w:val="24"/>
              </w:rPr>
              <w:t xml:space="preserve"> som e</w:t>
            </w:r>
            <w:r>
              <w:rPr>
                <w:sz w:val="24"/>
                <w:szCs w:val="24"/>
              </w:rPr>
              <w:t xml:space="preserve">ngangsdosis </w:t>
            </w:r>
            <w:r>
              <w:rPr>
                <w:noProof/>
                <w:sz w:val="24"/>
                <w:szCs w:val="24"/>
              </w:rPr>
              <w:t>(3, 4)</w:t>
            </w:r>
          </w:p>
          <w:p w:rsidR="008D5AF9" w:rsidRPr="001167B7" w:rsidRDefault="008D5AF9" w:rsidP="008D5AF9">
            <w:pPr>
              <w:pStyle w:val="Ingenafstand"/>
              <w:rPr>
                <w:sz w:val="24"/>
                <w:szCs w:val="24"/>
              </w:rPr>
            </w:pPr>
          </w:p>
        </w:tc>
        <w:tc>
          <w:tcPr>
            <w:tcW w:w="3484" w:type="dxa"/>
            <w:tcBorders>
              <w:top w:val="nil"/>
              <w:left w:val="nil"/>
              <w:bottom w:val="nil"/>
              <w:right w:val="single" w:sz="4" w:space="0" w:color="auto"/>
            </w:tcBorders>
          </w:tcPr>
          <w:p w:rsidR="008D5AF9" w:rsidRPr="001167B7" w:rsidRDefault="008D5AF9" w:rsidP="008D5AF9">
            <w:pPr>
              <w:pStyle w:val="Ingenafstand"/>
              <w:rPr>
                <w:sz w:val="24"/>
                <w:szCs w:val="24"/>
              </w:rPr>
            </w:pPr>
            <w:r>
              <w:rPr>
                <w:sz w:val="24"/>
                <w:szCs w:val="24"/>
              </w:rPr>
              <w:t xml:space="preserve">           -II-</w:t>
            </w:r>
          </w:p>
        </w:tc>
      </w:tr>
      <w:tr w:rsidR="008D5AF9" w:rsidRPr="001167B7" w:rsidTr="008D5AF9">
        <w:trPr>
          <w:trHeight w:val="572"/>
        </w:trPr>
        <w:tc>
          <w:tcPr>
            <w:tcW w:w="3483" w:type="dxa"/>
            <w:tcBorders>
              <w:top w:val="nil"/>
              <w:left w:val="single" w:sz="4" w:space="0" w:color="auto"/>
              <w:bottom w:val="nil"/>
              <w:right w:val="nil"/>
            </w:tcBorders>
          </w:tcPr>
          <w:p w:rsidR="008D5AF9" w:rsidRPr="001167B7" w:rsidRDefault="008D5AF9" w:rsidP="008D5AF9">
            <w:pPr>
              <w:pStyle w:val="Ingenafstand"/>
              <w:rPr>
                <w:sz w:val="24"/>
                <w:szCs w:val="24"/>
              </w:rPr>
            </w:pPr>
            <w:r>
              <w:rPr>
                <w:sz w:val="24"/>
                <w:szCs w:val="24"/>
              </w:rPr>
              <w:t xml:space="preserve">Kompliceret gonorré: </w:t>
            </w:r>
            <w:r w:rsidR="00655A3F">
              <w:rPr>
                <w:sz w:val="24"/>
                <w:szCs w:val="24"/>
              </w:rPr>
              <w:t>K</w:t>
            </w:r>
            <w:r>
              <w:rPr>
                <w:sz w:val="24"/>
                <w:szCs w:val="24"/>
              </w:rPr>
              <w:t>onjunktivit</w:t>
            </w:r>
          </w:p>
        </w:tc>
        <w:tc>
          <w:tcPr>
            <w:tcW w:w="3483" w:type="dxa"/>
            <w:tcBorders>
              <w:top w:val="nil"/>
              <w:left w:val="nil"/>
              <w:bottom w:val="nil"/>
              <w:right w:val="nil"/>
            </w:tcBorders>
          </w:tcPr>
          <w:p w:rsidR="008D5AF9" w:rsidRDefault="008D5AF9" w:rsidP="008D5AF9">
            <w:pPr>
              <w:pStyle w:val="Ingenafstand"/>
              <w:rPr>
                <w:sz w:val="24"/>
                <w:szCs w:val="24"/>
              </w:rPr>
            </w:pPr>
            <w:r w:rsidRPr="001167B7">
              <w:rPr>
                <w:sz w:val="24"/>
                <w:szCs w:val="24"/>
              </w:rPr>
              <w:t>Inj. ceftriaxon 1 g i</w:t>
            </w:r>
            <w:r>
              <w:rPr>
                <w:sz w:val="24"/>
                <w:szCs w:val="24"/>
              </w:rPr>
              <w:t>.</w:t>
            </w:r>
            <w:r w:rsidRPr="001167B7">
              <w:rPr>
                <w:sz w:val="24"/>
                <w:szCs w:val="24"/>
              </w:rPr>
              <w:t xml:space="preserve">m. som </w:t>
            </w:r>
            <w:r>
              <w:rPr>
                <w:sz w:val="24"/>
                <w:szCs w:val="24"/>
              </w:rPr>
              <w:t xml:space="preserve">engangsdosis </w:t>
            </w:r>
            <w:r>
              <w:rPr>
                <w:noProof/>
                <w:sz w:val="24"/>
                <w:szCs w:val="24"/>
              </w:rPr>
              <w:t>(3, 4)</w:t>
            </w:r>
          </w:p>
          <w:p w:rsidR="008D5AF9" w:rsidRPr="001167B7" w:rsidRDefault="008D5AF9" w:rsidP="008D5AF9">
            <w:pPr>
              <w:pStyle w:val="Ingenafstand"/>
              <w:rPr>
                <w:sz w:val="24"/>
                <w:szCs w:val="24"/>
              </w:rPr>
            </w:pPr>
          </w:p>
        </w:tc>
        <w:tc>
          <w:tcPr>
            <w:tcW w:w="3484" w:type="dxa"/>
            <w:tcBorders>
              <w:top w:val="nil"/>
              <w:left w:val="nil"/>
              <w:bottom w:val="nil"/>
              <w:right w:val="single" w:sz="4" w:space="0" w:color="auto"/>
            </w:tcBorders>
          </w:tcPr>
          <w:p w:rsidR="008D5AF9" w:rsidRPr="001167B7" w:rsidRDefault="008D5AF9" w:rsidP="008D5AF9">
            <w:pPr>
              <w:pStyle w:val="Ingenafstand"/>
              <w:rPr>
                <w:sz w:val="24"/>
                <w:szCs w:val="24"/>
              </w:rPr>
            </w:pPr>
          </w:p>
        </w:tc>
      </w:tr>
      <w:tr w:rsidR="008D5AF9" w:rsidRPr="0004130A" w:rsidTr="008D5AF9">
        <w:trPr>
          <w:trHeight w:val="850"/>
        </w:trPr>
        <w:tc>
          <w:tcPr>
            <w:tcW w:w="3483" w:type="dxa"/>
            <w:tcBorders>
              <w:top w:val="nil"/>
              <w:left w:val="single" w:sz="4" w:space="0" w:color="auto"/>
              <w:bottom w:val="nil"/>
              <w:right w:val="nil"/>
            </w:tcBorders>
          </w:tcPr>
          <w:p w:rsidR="008D5AF9" w:rsidRDefault="008D5AF9" w:rsidP="008D5AF9">
            <w:pPr>
              <w:pStyle w:val="Ingenafstand"/>
              <w:rPr>
                <w:sz w:val="24"/>
                <w:szCs w:val="24"/>
              </w:rPr>
            </w:pPr>
            <w:r>
              <w:rPr>
                <w:sz w:val="24"/>
                <w:szCs w:val="24"/>
              </w:rPr>
              <w:t>Kompliceret gonorré:</w:t>
            </w:r>
          </w:p>
          <w:p w:rsidR="008D5AF9" w:rsidRDefault="008D5AF9" w:rsidP="008D5AF9">
            <w:pPr>
              <w:pStyle w:val="Ingenafstand"/>
              <w:rPr>
                <w:sz w:val="24"/>
                <w:szCs w:val="24"/>
              </w:rPr>
            </w:pPr>
            <w:r>
              <w:rPr>
                <w:sz w:val="24"/>
                <w:szCs w:val="24"/>
              </w:rPr>
              <w:t xml:space="preserve">Epididymit </w:t>
            </w:r>
          </w:p>
        </w:tc>
        <w:tc>
          <w:tcPr>
            <w:tcW w:w="3483" w:type="dxa"/>
            <w:tcBorders>
              <w:top w:val="nil"/>
              <w:left w:val="nil"/>
              <w:bottom w:val="nil"/>
              <w:right w:val="nil"/>
            </w:tcBorders>
          </w:tcPr>
          <w:p w:rsidR="008D5AF9" w:rsidRDefault="008D5AF9" w:rsidP="008D5AF9">
            <w:pPr>
              <w:pStyle w:val="Ingenafstand"/>
              <w:rPr>
                <w:sz w:val="24"/>
                <w:szCs w:val="24"/>
              </w:rPr>
            </w:pPr>
            <w:r w:rsidRPr="0004130A">
              <w:rPr>
                <w:sz w:val="24"/>
                <w:szCs w:val="24"/>
              </w:rPr>
              <w:t>Inj. ceftriaxon 500 mg i</w:t>
            </w:r>
            <w:r>
              <w:rPr>
                <w:sz w:val="24"/>
                <w:szCs w:val="24"/>
              </w:rPr>
              <w:t>.</w:t>
            </w:r>
            <w:r w:rsidRPr="0004130A">
              <w:rPr>
                <w:sz w:val="24"/>
                <w:szCs w:val="24"/>
              </w:rPr>
              <w:t xml:space="preserve">m. </w:t>
            </w:r>
            <w:r>
              <w:rPr>
                <w:sz w:val="24"/>
                <w:szCs w:val="24"/>
              </w:rPr>
              <w:t>som engangsdosis</w:t>
            </w:r>
            <w:r w:rsidRPr="0004130A">
              <w:rPr>
                <w:sz w:val="24"/>
                <w:szCs w:val="24"/>
              </w:rPr>
              <w:t xml:space="preserve"> + tbl. </w:t>
            </w:r>
            <w:r>
              <w:rPr>
                <w:sz w:val="24"/>
                <w:szCs w:val="24"/>
              </w:rPr>
              <w:t>d</w:t>
            </w:r>
            <w:r w:rsidRPr="0004130A">
              <w:rPr>
                <w:sz w:val="24"/>
                <w:szCs w:val="24"/>
              </w:rPr>
              <w:t>oxycyklin 100 mg x 2 i</w:t>
            </w:r>
            <w:r>
              <w:rPr>
                <w:sz w:val="24"/>
                <w:szCs w:val="24"/>
              </w:rPr>
              <w:t xml:space="preserve"> 10-14 dage </w:t>
            </w:r>
            <w:r>
              <w:rPr>
                <w:noProof/>
                <w:sz w:val="24"/>
                <w:szCs w:val="24"/>
              </w:rPr>
              <w:t>(6)</w:t>
            </w:r>
          </w:p>
          <w:p w:rsidR="008D5AF9" w:rsidRPr="0004130A" w:rsidRDefault="008D5AF9" w:rsidP="008D5AF9">
            <w:pPr>
              <w:pStyle w:val="Ingenafstand"/>
              <w:rPr>
                <w:sz w:val="24"/>
                <w:szCs w:val="24"/>
              </w:rPr>
            </w:pPr>
          </w:p>
        </w:tc>
        <w:tc>
          <w:tcPr>
            <w:tcW w:w="3484" w:type="dxa"/>
            <w:tcBorders>
              <w:top w:val="nil"/>
              <w:left w:val="nil"/>
              <w:bottom w:val="nil"/>
              <w:right w:val="single" w:sz="4" w:space="0" w:color="auto"/>
            </w:tcBorders>
          </w:tcPr>
          <w:p w:rsidR="008D5AF9" w:rsidRPr="0004130A" w:rsidRDefault="008D5AF9" w:rsidP="008D5AF9">
            <w:pPr>
              <w:pStyle w:val="Ingenafstand"/>
              <w:rPr>
                <w:sz w:val="24"/>
                <w:szCs w:val="24"/>
              </w:rPr>
            </w:pPr>
          </w:p>
        </w:tc>
      </w:tr>
      <w:tr w:rsidR="008D5AF9" w:rsidRPr="0004130A" w:rsidTr="008D5AF9">
        <w:trPr>
          <w:trHeight w:val="1144"/>
        </w:trPr>
        <w:tc>
          <w:tcPr>
            <w:tcW w:w="3483" w:type="dxa"/>
            <w:tcBorders>
              <w:top w:val="nil"/>
              <w:left w:val="single" w:sz="4" w:space="0" w:color="auto"/>
              <w:bottom w:val="nil"/>
              <w:right w:val="nil"/>
            </w:tcBorders>
          </w:tcPr>
          <w:p w:rsidR="008D5AF9" w:rsidRDefault="008D5AF9" w:rsidP="008D5AF9">
            <w:pPr>
              <w:pStyle w:val="Ingenafstand"/>
              <w:rPr>
                <w:sz w:val="24"/>
                <w:szCs w:val="24"/>
              </w:rPr>
            </w:pPr>
            <w:r>
              <w:rPr>
                <w:sz w:val="24"/>
                <w:szCs w:val="24"/>
              </w:rPr>
              <w:t>Kompliceret gonorré:</w:t>
            </w:r>
          </w:p>
          <w:p w:rsidR="008D5AF9" w:rsidRPr="0004130A" w:rsidRDefault="008D5AF9" w:rsidP="008D5AF9">
            <w:pPr>
              <w:pStyle w:val="Ingenafstand"/>
              <w:rPr>
                <w:sz w:val="24"/>
                <w:szCs w:val="24"/>
              </w:rPr>
            </w:pPr>
            <w:r>
              <w:rPr>
                <w:sz w:val="24"/>
                <w:szCs w:val="24"/>
              </w:rPr>
              <w:t>Salpingit (moderate symptomer)</w:t>
            </w:r>
            <w:r>
              <w:rPr>
                <w:rFonts w:cstheme="minorHAnsi"/>
                <w:sz w:val="24"/>
                <w:szCs w:val="24"/>
              </w:rPr>
              <w:t>³</w:t>
            </w:r>
          </w:p>
        </w:tc>
        <w:tc>
          <w:tcPr>
            <w:tcW w:w="3483" w:type="dxa"/>
            <w:tcBorders>
              <w:top w:val="nil"/>
              <w:left w:val="nil"/>
              <w:bottom w:val="nil"/>
              <w:right w:val="nil"/>
            </w:tcBorders>
          </w:tcPr>
          <w:p w:rsidR="008D5AF9" w:rsidRPr="0004130A" w:rsidRDefault="008D5AF9" w:rsidP="008D5AF9">
            <w:pPr>
              <w:pStyle w:val="Ingenafstand"/>
              <w:rPr>
                <w:sz w:val="24"/>
                <w:szCs w:val="24"/>
              </w:rPr>
            </w:pPr>
            <w:r w:rsidRPr="0004130A">
              <w:rPr>
                <w:sz w:val="24"/>
                <w:szCs w:val="24"/>
              </w:rPr>
              <w:t>Inj. ceftriaxon 500 mg i</w:t>
            </w:r>
            <w:r>
              <w:rPr>
                <w:sz w:val="24"/>
                <w:szCs w:val="24"/>
              </w:rPr>
              <w:t>.</w:t>
            </w:r>
            <w:r w:rsidRPr="0004130A">
              <w:rPr>
                <w:sz w:val="24"/>
                <w:szCs w:val="24"/>
              </w:rPr>
              <w:t>m. som engangsdosis + tbl. doxycyklin 100 mg x 2 i</w:t>
            </w:r>
            <w:r>
              <w:rPr>
                <w:sz w:val="24"/>
                <w:szCs w:val="24"/>
              </w:rPr>
              <w:t xml:space="preserve"> 14 dage </w:t>
            </w:r>
            <w:r>
              <w:rPr>
                <w:noProof/>
                <w:sz w:val="24"/>
                <w:szCs w:val="24"/>
              </w:rPr>
              <w:t>(7)</w:t>
            </w:r>
          </w:p>
        </w:tc>
        <w:tc>
          <w:tcPr>
            <w:tcW w:w="3484" w:type="dxa"/>
            <w:tcBorders>
              <w:top w:val="nil"/>
              <w:left w:val="nil"/>
              <w:bottom w:val="nil"/>
              <w:right w:val="single" w:sz="4" w:space="0" w:color="auto"/>
            </w:tcBorders>
          </w:tcPr>
          <w:p w:rsidR="008D5AF9" w:rsidRPr="0004130A" w:rsidRDefault="008D5AF9" w:rsidP="008D5AF9">
            <w:pPr>
              <w:pStyle w:val="Ingenafstand"/>
              <w:rPr>
                <w:sz w:val="24"/>
                <w:szCs w:val="24"/>
              </w:rPr>
            </w:pPr>
          </w:p>
        </w:tc>
      </w:tr>
      <w:tr w:rsidR="008D5AF9" w:rsidRPr="0004130A" w:rsidTr="008D5AF9">
        <w:trPr>
          <w:trHeight w:val="1129"/>
        </w:trPr>
        <w:tc>
          <w:tcPr>
            <w:tcW w:w="3483" w:type="dxa"/>
            <w:tcBorders>
              <w:top w:val="nil"/>
              <w:left w:val="single" w:sz="4" w:space="0" w:color="auto"/>
              <w:bottom w:val="nil"/>
              <w:right w:val="nil"/>
            </w:tcBorders>
          </w:tcPr>
          <w:p w:rsidR="008D5AF9" w:rsidRDefault="008D5AF9" w:rsidP="008D5AF9">
            <w:pPr>
              <w:pStyle w:val="Ingenafstand"/>
              <w:rPr>
                <w:sz w:val="24"/>
                <w:szCs w:val="24"/>
              </w:rPr>
            </w:pPr>
            <w:r>
              <w:rPr>
                <w:sz w:val="24"/>
                <w:szCs w:val="24"/>
              </w:rPr>
              <w:t>Kompliceret gonorré:</w:t>
            </w:r>
          </w:p>
          <w:p w:rsidR="008D5AF9" w:rsidRDefault="008D5AF9" w:rsidP="008D5AF9">
            <w:pPr>
              <w:pStyle w:val="Ingenafstand"/>
              <w:rPr>
                <w:sz w:val="24"/>
                <w:szCs w:val="24"/>
              </w:rPr>
            </w:pPr>
            <w:r>
              <w:rPr>
                <w:sz w:val="24"/>
                <w:szCs w:val="24"/>
              </w:rPr>
              <w:t>Salpingit (svære symptomer)</w:t>
            </w:r>
            <w:r>
              <w:rPr>
                <w:rFonts w:cstheme="minorHAnsi"/>
                <w:sz w:val="24"/>
                <w:szCs w:val="24"/>
              </w:rPr>
              <w:t>³</w:t>
            </w:r>
          </w:p>
        </w:tc>
        <w:tc>
          <w:tcPr>
            <w:tcW w:w="3483" w:type="dxa"/>
            <w:tcBorders>
              <w:top w:val="nil"/>
              <w:left w:val="nil"/>
              <w:bottom w:val="nil"/>
              <w:right w:val="nil"/>
            </w:tcBorders>
          </w:tcPr>
          <w:p w:rsidR="008D5AF9" w:rsidRDefault="008D5AF9" w:rsidP="008D5AF9">
            <w:pPr>
              <w:pStyle w:val="Ingenafstand"/>
              <w:rPr>
                <w:sz w:val="24"/>
                <w:szCs w:val="24"/>
              </w:rPr>
            </w:pPr>
            <w:r w:rsidRPr="0004130A">
              <w:rPr>
                <w:sz w:val="24"/>
                <w:szCs w:val="24"/>
              </w:rPr>
              <w:t>Indlæggelse til i.v. c</w:t>
            </w:r>
            <w:r>
              <w:rPr>
                <w:sz w:val="24"/>
                <w:szCs w:val="24"/>
              </w:rPr>
              <w:t xml:space="preserve">eftriaxon 1 g x 1 daglig i.v. indtil 24 efter klinisk bedring + tbl doxycyklin 100 mg x 2 i 14 dage </w:t>
            </w:r>
            <w:r>
              <w:rPr>
                <w:noProof/>
                <w:sz w:val="24"/>
                <w:szCs w:val="24"/>
              </w:rPr>
              <w:t>(7)</w:t>
            </w:r>
          </w:p>
          <w:p w:rsidR="008D5AF9" w:rsidRPr="0004130A" w:rsidRDefault="008D5AF9" w:rsidP="008D5AF9">
            <w:pPr>
              <w:pStyle w:val="Ingenafstand"/>
              <w:rPr>
                <w:sz w:val="24"/>
                <w:szCs w:val="24"/>
              </w:rPr>
            </w:pPr>
          </w:p>
        </w:tc>
        <w:tc>
          <w:tcPr>
            <w:tcW w:w="3484" w:type="dxa"/>
            <w:tcBorders>
              <w:top w:val="nil"/>
              <w:left w:val="nil"/>
              <w:bottom w:val="nil"/>
              <w:right w:val="single" w:sz="4" w:space="0" w:color="auto"/>
            </w:tcBorders>
          </w:tcPr>
          <w:p w:rsidR="008D5AF9" w:rsidRPr="0004130A" w:rsidRDefault="008D5AF9" w:rsidP="008D5AF9">
            <w:pPr>
              <w:pStyle w:val="Ingenafstand"/>
              <w:rPr>
                <w:sz w:val="24"/>
                <w:szCs w:val="24"/>
              </w:rPr>
            </w:pPr>
          </w:p>
        </w:tc>
      </w:tr>
      <w:tr w:rsidR="008D5AF9" w:rsidRPr="0004130A" w:rsidTr="008D5AF9">
        <w:trPr>
          <w:trHeight w:val="572"/>
        </w:trPr>
        <w:tc>
          <w:tcPr>
            <w:tcW w:w="3483" w:type="dxa"/>
            <w:tcBorders>
              <w:top w:val="nil"/>
              <w:left w:val="single" w:sz="4" w:space="0" w:color="auto"/>
              <w:bottom w:val="single" w:sz="4" w:space="0" w:color="auto"/>
              <w:right w:val="nil"/>
            </w:tcBorders>
          </w:tcPr>
          <w:p w:rsidR="008D5AF9" w:rsidRDefault="008D5AF9" w:rsidP="008D5AF9">
            <w:pPr>
              <w:pStyle w:val="Ingenafstand"/>
              <w:rPr>
                <w:sz w:val="24"/>
                <w:szCs w:val="24"/>
              </w:rPr>
            </w:pPr>
            <w:r>
              <w:rPr>
                <w:sz w:val="24"/>
                <w:szCs w:val="24"/>
              </w:rPr>
              <w:t>Kompliceret gonorré:</w:t>
            </w:r>
          </w:p>
          <w:p w:rsidR="008D5AF9" w:rsidRDefault="008D5AF9" w:rsidP="008D5AF9">
            <w:pPr>
              <w:pStyle w:val="Ingenafstand"/>
              <w:rPr>
                <w:sz w:val="24"/>
                <w:szCs w:val="24"/>
              </w:rPr>
            </w:pPr>
            <w:r>
              <w:rPr>
                <w:sz w:val="24"/>
                <w:szCs w:val="24"/>
              </w:rPr>
              <w:t>Dissemineret infektion</w:t>
            </w:r>
          </w:p>
        </w:tc>
        <w:tc>
          <w:tcPr>
            <w:tcW w:w="3483" w:type="dxa"/>
            <w:tcBorders>
              <w:top w:val="nil"/>
              <w:left w:val="nil"/>
              <w:bottom w:val="single" w:sz="4" w:space="0" w:color="auto"/>
              <w:right w:val="nil"/>
            </w:tcBorders>
          </w:tcPr>
          <w:p w:rsidR="008D5AF9" w:rsidRPr="0004130A" w:rsidRDefault="008D5AF9" w:rsidP="008D5AF9">
            <w:pPr>
              <w:pStyle w:val="Ingenafstand"/>
              <w:rPr>
                <w:sz w:val="24"/>
                <w:szCs w:val="24"/>
              </w:rPr>
            </w:pPr>
            <w:r>
              <w:rPr>
                <w:sz w:val="24"/>
                <w:szCs w:val="24"/>
              </w:rPr>
              <w:t xml:space="preserve">Indlæggelse til i.v. ceftriaxon 1 g i.m. eller i.v. i 7 dage </w:t>
            </w:r>
            <w:r>
              <w:rPr>
                <w:noProof/>
                <w:sz w:val="24"/>
                <w:szCs w:val="24"/>
              </w:rPr>
              <w:t>(3)</w:t>
            </w:r>
          </w:p>
        </w:tc>
        <w:tc>
          <w:tcPr>
            <w:tcW w:w="3484" w:type="dxa"/>
            <w:tcBorders>
              <w:top w:val="nil"/>
              <w:left w:val="nil"/>
              <w:bottom w:val="single" w:sz="4" w:space="0" w:color="auto"/>
              <w:right w:val="single" w:sz="4" w:space="0" w:color="auto"/>
            </w:tcBorders>
          </w:tcPr>
          <w:p w:rsidR="008D5AF9" w:rsidRPr="0004130A" w:rsidRDefault="008D5AF9" w:rsidP="008D5AF9">
            <w:pPr>
              <w:pStyle w:val="Ingenafstand"/>
              <w:rPr>
                <w:sz w:val="24"/>
                <w:szCs w:val="24"/>
              </w:rPr>
            </w:pPr>
          </w:p>
        </w:tc>
      </w:tr>
    </w:tbl>
    <w:p w:rsidR="008D5AF9" w:rsidRPr="001167B7" w:rsidRDefault="008D5AF9" w:rsidP="008D5AF9">
      <w:pPr>
        <w:pStyle w:val="Ingenafstand"/>
      </w:pPr>
      <w:r>
        <w:rPr>
          <w:rFonts w:cstheme="minorHAnsi"/>
          <w:sz w:val="24"/>
          <w:szCs w:val="24"/>
        </w:rPr>
        <w:t>¹</w:t>
      </w:r>
      <w:r w:rsidRPr="001167B7">
        <w:t>kan gives til gravide og ammende</w:t>
      </w:r>
    </w:p>
    <w:p w:rsidR="008D5AF9" w:rsidRDefault="008D5AF9" w:rsidP="008D5AF9">
      <w:pPr>
        <w:pStyle w:val="Ingenafstand"/>
      </w:pPr>
      <w:r w:rsidRPr="001167B7">
        <w:rPr>
          <w:rFonts w:cstheme="minorHAnsi"/>
        </w:rPr>
        <w:t xml:space="preserve">²Efter resistenssvar. Er </w:t>
      </w:r>
      <w:r w:rsidRPr="001167B7">
        <w:t xml:space="preserve">kontraindiceret hos gravide og børn under 16 år. Der er beskrevet resistens i ca. 40% </w:t>
      </w:r>
      <w:r>
        <w:t xml:space="preserve"> </w:t>
      </w:r>
      <w:r w:rsidRPr="001167B7">
        <w:t>af isolaterne i 2018, hvorfor det ikke anvendes som førstevalgsbehandling (2, 3, 4)</w:t>
      </w:r>
    </w:p>
    <w:p w:rsidR="008D5AF9" w:rsidRPr="00030A28" w:rsidRDefault="008D5AF9" w:rsidP="008D5AF9">
      <w:pPr>
        <w:pStyle w:val="Ingenafstand"/>
      </w:pPr>
      <w:r>
        <w:rPr>
          <w:rFonts w:cstheme="minorHAnsi"/>
        </w:rPr>
        <w:t>³</w:t>
      </w:r>
      <w:r w:rsidRPr="00030A28">
        <w:rPr>
          <w:sz w:val="24"/>
          <w:szCs w:val="24"/>
        </w:rPr>
        <w:t xml:space="preserve"> </w:t>
      </w:r>
      <w:r w:rsidRPr="00030A28">
        <w:t xml:space="preserve">I begge tilfælde bør man overveje at tillægge metronidazol 500 mg x 2 i 14 dage, især før prøvesvar foreligger, IUSTI anbefaler denne behandling fast </w:t>
      </w:r>
      <w:r>
        <w:rPr>
          <w:noProof/>
        </w:rPr>
        <w:t>(7)</w:t>
      </w:r>
      <w:r>
        <w:t>.</w:t>
      </w:r>
    </w:p>
    <w:p w:rsidR="008D5AF9" w:rsidRPr="00030A28" w:rsidRDefault="008D5AF9" w:rsidP="008D5AF9">
      <w:pPr>
        <w:pStyle w:val="Ingenafstand"/>
      </w:pPr>
    </w:p>
    <w:p w:rsidR="008D5AF9" w:rsidRDefault="008D5AF9" w:rsidP="008D5AF9">
      <w:pPr>
        <w:pStyle w:val="Ingenafstand"/>
        <w:rPr>
          <w:b/>
          <w:bCs/>
          <w:sz w:val="24"/>
          <w:szCs w:val="24"/>
        </w:rPr>
      </w:pPr>
    </w:p>
    <w:p w:rsidR="008D5AF9" w:rsidRDefault="008D5AF9" w:rsidP="008D5AF9">
      <w:pPr>
        <w:pStyle w:val="Ingenafstand"/>
        <w:rPr>
          <w:sz w:val="24"/>
          <w:szCs w:val="24"/>
        </w:rPr>
      </w:pPr>
    </w:p>
    <w:p w:rsidR="008D5AF9" w:rsidRDefault="008D5AF9" w:rsidP="008D5AF9">
      <w:pPr>
        <w:pStyle w:val="Ingenafstand"/>
        <w:rPr>
          <w:sz w:val="24"/>
          <w:szCs w:val="24"/>
        </w:rPr>
      </w:pPr>
    </w:p>
    <w:p w:rsidR="008D5AF9" w:rsidRDefault="008D5AF9" w:rsidP="008D5AF9">
      <w:pPr>
        <w:pStyle w:val="Ingenafstand"/>
        <w:rPr>
          <w:sz w:val="24"/>
          <w:szCs w:val="24"/>
        </w:rPr>
      </w:pPr>
    </w:p>
    <w:p w:rsidR="008D5AF9" w:rsidRDefault="008D5AF9" w:rsidP="008D5AF9">
      <w:pPr>
        <w:pStyle w:val="Ingenafstand"/>
        <w:rPr>
          <w:sz w:val="24"/>
          <w:szCs w:val="24"/>
        </w:rPr>
      </w:pPr>
    </w:p>
    <w:p w:rsidR="008D5AF9" w:rsidRPr="002F6BFC" w:rsidRDefault="008D5AF9" w:rsidP="008D5AF9">
      <w:pPr>
        <w:pStyle w:val="Ingenafstand"/>
        <w:rPr>
          <w:sz w:val="24"/>
          <w:szCs w:val="24"/>
        </w:rPr>
      </w:pPr>
    </w:p>
    <w:p w:rsidR="008D5AF9" w:rsidRPr="002F6BFC" w:rsidRDefault="008D5AF9" w:rsidP="008D5AF9">
      <w:pPr>
        <w:pStyle w:val="Ingenafstand"/>
        <w:rPr>
          <w:sz w:val="24"/>
          <w:szCs w:val="24"/>
        </w:rPr>
      </w:pPr>
    </w:p>
    <w:p w:rsidR="008D5AF9" w:rsidRPr="005B1D59" w:rsidRDefault="008D5AF9" w:rsidP="008D5AF9">
      <w:pPr>
        <w:pStyle w:val="Overskrift3"/>
        <w:rPr>
          <w:rFonts w:ascii="Calibri" w:hAnsi="Calibri" w:cs="Calibri"/>
          <w:sz w:val="28"/>
          <w:szCs w:val="28"/>
        </w:rPr>
      </w:pPr>
      <w:bookmarkStart w:id="4" w:name="_Toc86222539"/>
      <w:r w:rsidRPr="005B1D59">
        <w:rPr>
          <w:rFonts w:ascii="Calibri" w:hAnsi="Calibri" w:cs="Calibri"/>
          <w:sz w:val="28"/>
          <w:szCs w:val="28"/>
        </w:rPr>
        <w:lastRenderedPageBreak/>
        <w:t>Klamydia</w:t>
      </w:r>
      <w:bookmarkEnd w:id="4"/>
      <w:r w:rsidRPr="005B1D59">
        <w:rPr>
          <w:rFonts w:ascii="Calibri" w:hAnsi="Calibri" w:cs="Calibri"/>
          <w:sz w:val="28"/>
          <w:szCs w:val="28"/>
        </w:rPr>
        <w:t xml:space="preserve"> </w:t>
      </w:r>
    </w:p>
    <w:p w:rsidR="008D5AF9" w:rsidRPr="002F6BFC" w:rsidRDefault="008D5AF9" w:rsidP="008D5AF9">
      <w:pPr>
        <w:pStyle w:val="Ingenafstand"/>
        <w:rPr>
          <w:sz w:val="24"/>
          <w:szCs w:val="24"/>
        </w:rPr>
      </w:pPr>
    </w:p>
    <w:p w:rsidR="008D5AF9" w:rsidRPr="002F6BFC" w:rsidRDefault="008D5AF9" w:rsidP="008D5AF9">
      <w:pPr>
        <w:pStyle w:val="Ingenafstand"/>
        <w:rPr>
          <w:b/>
          <w:bCs/>
          <w:sz w:val="24"/>
          <w:szCs w:val="24"/>
        </w:rPr>
      </w:pPr>
      <w:r w:rsidRPr="002F6BFC">
        <w:rPr>
          <w:b/>
          <w:bCs/>
          <w:sz w:val="24"/>
          <w:szCs w:val="24"/>
        </w:rPr>
        <w:t>Baggrund og epidemiologi</w:t>
      </w:r>
    </w:p>
    <w:p w:rsidR="008D5AF9" w:rsidRPr="002F6BFC" w:rsidRDefault="008D5AF9" w:rsidP="008D5AF9">
      <w:pPr>
        <w:pStyle w:val="Ingenafstand"/>
        <w:rPr>
          <w:b/>
          <w:bCs/>
          <w:sz w:val="24"/>
          <w:szCs w:val="24"/>
        </w:rPr>
      </w:pPr>
    </w:p>
    <w:p w:rsidR="008D5AF9" w:rsidRPr="00915909" w:rsidRDefault="008D5AF9" w:rsidP="008D5AF9">
      <w:pPr>
        <w:rPr>
          <w:sz w:val="24"/>
          <w:szCs w:val="24"/>
        </w:rPr>
      </w:pPr>
      <w:r w:rsidRPr="00915909">
        <w:rPr>
          <w:sz w:val="24"/>
          <w:szCs w:val="24"/>
        </w:rPr>
        <w:t xml:space="preserve">Klamydia er en seksuelt overført sygdom forårsaget af undertyper af den obligate intracellulære bakterie </w:t>
      </w:r>
      <w:r w:rsidRPr="00915909">
        <w:rPr>
          <w:i/>
          <w:iCs/>
          <w:sz w:val="24"/>
          <w:szCs w:val="24"/>
        </w:rPr>
        <w:t>Chlamydia trachomatis</w:t>
      </w:r>
      <w:r w:rsidRPr="00915909">
        <w:rPr>
          <w:sz w:val="24"/>
          <w:szCs w:val="24"/>
        </w:rPr>
        <w:t xml:space="preserve"> (</w:t>
      </w:r>
      <w:r w:rsidRPr="00915909">
        <w:rPr>
          <w:i/>
          <w:iCs/>
          <w:sz w:val="24"/>
          <w:szCs w:val="24"/>
        </w:rPr>
        <w:t>C. trachomatis</w:t>
      </w:r>
      <w:r w:rsidRPr="00915909">
        <w:rPr>
          <w:sz w:val="24"/>
          <w:szCs w:val="24"/>
        </w:rPr>
        <w:t xml:space="preserve">), der overføres ved direkte seksuel slimhindekontakt. Infektionen er den hyppigste bakterielle </w:t>
      </w:r>
      <w:r w:rsidR="00D156A3">
        <w:rPr>
          <w:sz w:val="24"/>
          <w:szCs w:val="24"/>
        </w:rPr>
        <w:t>SOI,</w:t>
      </w:r>
      <w:r w:rsidRPr="00915909">
        <w:rPr>
          <w:sz w:val="24"/>
          <w:szCs w:val="24"/>
        </w:rPr>
        <w:t xml:space="preserve"> og er årsag til ca. 50% af non-</w:t>
      </w:r>
      <w:r w:rsidR="00682D70">
        <w:rPr>
          <w:sz w:val="24"/>
          <w:szCs w:val="24"/>
        </w:rPr>
        <w:t>gonorroisk</w:t>
      </w:r>
      <w:r w:rsidRPr="00915909">
        <w:rPr>
          <w:sz w:val="24"/>
          <w:szCs w:val="24"/>
        </w:rPr>
        <w:t xml:space="preserve"> uretrit</w:t>
      </w:r>
      <w:r w:rsidR="00D156A3">
        <w:rPr>
          <w:sz w:val="24"/>
          <w:szCs w:val="24"/>
        </w:rPr>
        <w:t xml:space="preserve"> (NGU)</w:t>
      </w:r>
      <w:r w:rsidRPr="00915909">
        <w:rPr>
          <w:sz w:val="24"/>
          <w:szCs w:val="24"/>
        </w:rPr>
        <w:t xml:space="preserve"> tilfældene. </w:t>
      </w:r>
    </w:p>
    <w:p w:rsidR="008D5AF9" w:rsidRPr="00915909" w:rsidRDefault="008D5AF9" w:rsidP="008D5AF9">
      <w:pPr>
        <w:rPr>
          <w:sz w:val="24"/>
          <w:szCs w:val="24"/>
        </w:rPr>
      </w:pPr>
      <w:r w:rsidRPr="00915909">
        <w:rPr>
          <w:i/>
          <w:iCs/>
          <w:sz w:val="24"/>
          <w:szCs w:val="24"/>
        </w:rPr>
        <w:t>C. trachomatis</w:t>
      </w:r>
      <w:r w:rsidRPr="00915909">
        <w:rPr>
          <w:sz w:val="24"/>
          <w:szCs w:val="24"/>
        </w:rPr>
        <w:t xml:space="preserve"> inficerer cylinderepitelet og medfører inflammation. Inkubationstiden er ca. 3 uger. Prædilektionsstederne er de genito-uretrale slimhinder, men også konjunktiva og analslimhinde kan inficeres. Op mod 50% af mænd og 80% af kvinder vil have en asymptomatisk infektion </w:t>
      </w:r>
      <w:r w:rsidRPr="00915909">
        <w:rPr>
          <w:noProof/>
          <w:sz w:val="24"/>
          <w:szCs w:val="24"/>
        </w:rPr>
        <w:t>(8, 9)</w:t>
      </w:r>
      <w:r w:rsidRPr="00915909">
        <w:rPr>
          <w:sz w:val="24"/>
          <w:szCs w:val="24"/>
        </w:rPr>
        <w:t xml:space="preserve">. </w:t>
      </w:r>
    </w:p>
    <w:p w:rsidR="008D5AF9" w:rsidRPr="002F6BFC" w:rsidRDefault="008D5AF9" w:rsidP="008D5AF9">
      <w:pPr>
        <w:pStyle w:val="Ingenafstand"/>
        <w:rPr>
          <w:b/>
          <w:bCs/>
          <w:sz w:val="24"/>
          <w:szCs w:val="24"/>
        </w:rPr>
      </w:pPr>
      <w:r w:rsidRPr="002F6BFC">
        <w:rPr>
          <w:b/>
          <w:bCs/>
          <w:sz w:val="24"/>
          <w:szCs w:val="24"/>
        </w:rPr>
        <w:t>Symptomer</w:t>
      </w:r>
    </w:p>
    <w:p w:rsidR="008D5AF9" w:rsidRPr="002F6BFC" w:rsidRDefault="008D5AF9" w:rsidP="008D5AF9">
      <w:pPr>
        <w:pStyle w:val="Ingenafstand"/>
        <w:rPr>
          <w:b/>
          <w:bCs/>
          <w:sz w:val="24"/>
          <w:szCs w:val="24"/>
        </w:rPr>
      </w:pPr>
    </w:p>
    <w:p w:rsidR="008D5AF9" w:rsidRPr="00A81DE6" w:rsidRDefault="008D5AF9" w:rsidP="008D5AF9">
      <w:pPr>
        <w:rPr>
          <w:sz w:val="24"/>
          <w:szCs w:val="24"/>
        </w:rPr>
      </w:pPr>
      <w:r w:rsidRPr="00A81DE6">
        <w:rPr>
          <w:sz w:val="24"/>
          <w:szCs w:val="24"/>
        </w:rPr>
        <w:t xml:space="preserve">Sparsomt vandigt uretralt udflåd og let svie ved vandladningen. </w:t>
      </w:r>
    </w:p>
    <w:p w:rsidR="008D5AF9" w:rsidRPr="00A81DE6" w:rsidRDefault="008D5AF9" w:rsidP="008D5AF9">
      <w:pPr>
        <w:rPr>
          <w:sz w:val="24"/>
          <w:szCs w:val="24"/>
        </w:rPr>
      </w:pPr>
      <w:r w:rsidRPr="00A81DE6">
        <w:rPr>
          <w:sz w:val="24"/>
          <w:szCs w:val="24"/>
        </w:rPr>
        <w:t xml:space="preserve">Hos kvinder kan der opstå mukopurulent cervicit, som giver vaginalt udflåd og intermenstruelle blødninger. Der kan opstå akut underlivsbetændelse med nedre abdominalsmerter, rokkeømhed og direkte ømhed af uterus og adnexer ved vaginal eksploration, purulent udflåd, feber og forhøjede infektionstal. </w:t>
      </w:r>
    </w:p>
    <w:p w:rsidR="008D5AF9" w:rsidRPr="00A81DE6" w:rsidRDefault="008D5AF9" w:rsidP="008D5AF9">
      <w:pPr>
        <w:rPr>
          <w:sz w:val="24"/>
          <w:szCs w:val="24"/>
        </w:rPr>
      </w:pPr>
      <w:r w:rsidRPr="00A81DE6">
        <w:rPr>
          <w:sz w:val="24"/>
          <w:szCs w:val="24"/>
        </w:rPr>
        <w:t>Hos mænd kan infektionen føre til epididymit, epididymo-orchit og testikulære smerter.</w:t>
      </w:r>
    </w:p>
    <w:p w:rsidR="008D5AF9" w:rsidRPr="00A81DE6" w:rsidRDefault="008D5AF9" w:rsidP="008D5AF9">
      <w:pPr>
        <w:rPr>
          <w:sz w:val="24"/>
          <w:szCs w:val="24"/>
        </w:rPr>
      </w:pPr>
      <w:r w:rsidRPr="00A81DE6">
        <w:rPr>
          <w:i/>
          <w:iCs/>
          <w:sz w:val="24"/>
          <w:szCs w:val="24"/>
        </w:rPr>
        <w:t>C. trachomatis</w:t>
      </w:r>
      <w:r w:rsidRPr="00A81DE6">
        <w:rPr>
          <w:sz w:val="24"/>
          <w:szCs w:val="24"/>
        </w:rPr>
        <w:t xml:space="preserve"> kan ligeledes inficere rektal slimhinden, som kan medføre rektalt udflåd og proktit, men tilstanden er dog ofte asymptomatisk. </w:t>
      </w:r>
    </w:p>
    <w:p w:rsidR="008D5AF9" w:rsidRPr="00A81DE6" w:rsidRDefault="008D5AF9" w:rsidP="008D5AF9">
      <w:pPr>
        <w:rPr>
          <w:sz w:val="24"/>
          <w:szCs w:val="24"/>
        </w:rPr>
      </w:pPr>
      <w:r>
        <w:rPr>
          <w:sz w:val="24"/>
          <w:szCs w:val="24"/>
        </w:rPr>
        <w:t>K</w:t>
      </w:r>
      <w:r w:rsidRPr="00A81DE6">
        <w:rPr>
          <w:sz w:val="24"/>
          <w:szCs w:val="24"/>
        </w:rPr>
        <w:t xml:space="preserve">onjunktivit </w:t>
      </w:r>
      <w:r>
        <w:rPr>
          <w:sz w:val="24"/>
          <w:szCs w:val="24"/>
        </w:rPr>
        <w:t xml:space="preserve">forårsaget af </w:t>
      </w:r>
      <w:r>
        <w:rPr>
          <w:i/>
          <w:iCs/>
          <w:sz w:val="24"/>
          <w:szCs w:val="24"/>
        </w:rPr>
        <w:t xml:space="preserve">C. trachomatis </w:t>
      </w:r>
      <w:r w:rsidRPr="00A81DE6">
        <w:rPr>
          <w:sz w:val="24"/>
          <w:szCs w:val="24"/>
        </w:rPr>
        <w:t xml:space="preserve">kan forekomme hos voksne ved øjenkontakt med inficeret sekret og hos nyfødte ved smitte fra fødselskanalen. Tilstanden ses sjældent i Danmark. </w:t>
      </w:r>
    </w:p>
    <w:p w:rsidR="008D5AF9" w:rsidRDefault="008D5AF9" w:rsidP="008D5AF9">
      <w:pPr>
        <w:rPr>
          <w:sz w:val="24"/>
          <w:szCs w:val="24"/>
        </w:rPr>
      </w:pPr>
      <w:r w:rsidRPr="00A81DE6">
        <w:rPr>
          <w:sz w:val="24"/>
          <w:szCs w:val="24"/>
        </w:rPr>
        <w:t>Klamydiafaryngit kan forekomme og er ofte asymptomatisk eller kan give let</w:t>
      </w:r>
      <w:r>
        <w:rPr>
          <w:sz w:val="24"/>
          <w:szCs w:val="24"/>
        </w:rPr>
        <w:t>te halssmerter</w:t>
      </w:r>
      <w:r w:rsidRPr="00A81DE6">
        <w:rPr>
          <w:sz w:val="24"/>
          <w:szCs w:val="24"/>
        </w:rPr>
        <w:t>.</w:t>
      </w:r>
    </w:p>
    <w:p w:rsidR="008D5AF9" w:rsidRPr="008D5AF9" w:rsidRDefault="008D5AF9" w:rsidP="008D5AF9">
      <w:pPr>
        <w:rPr>
          <w:b/>
          <w:bCs/>
          <w:sz w:val="24"/>
          <w:szCs w:val="24"/>
        </w:rPr>
      </w:pPr>
      <w:r w:rsidRPr="008D5AF9">
        <w:rPr>
          <w:b/>
          <w:bCs/>
          <w:sz w:val="24"/>
          <w:szCs w:val="24"/>
        </w:rPr>
        <w:t>Komplikationer:</w:t>
      </w:r>
    </w:p>
    <w:p w:rsidR="008D5AF9" w:rsidRPr="00A81DE6" w:rsidRDefault="008D5AF9" w:rsidP="008D5AF9">
      <w:pPr>
        <w:rPr>
          <w:sz w:val="24"/>
          <w:szCs w:val="24"/>
        </w:rPr>
      </w:pPr>
      <w:r w:rsidRPr="00A81DE6">
        <w:rPr>
          <w:sz w:val="24"/>
          <w:szCs w:val="24"/>
        </w:rPr>
        <w:t xml:space="preserve">En ubehandlet klamydiainfektion kan medføre komplikationer i form af kroniske underlivssmerter, salpingit, endometrit, perihepatit, </w:t>
      </w:r>
      <w:r>
        <w:rPr>
          <w:sz w:val="24"/>
          <w:szCs w:val="24"/>
        </w:rPr>
        <w:t xml:space="preserve">nedsat </w:t>
      </w:r>
      <w:r w:rsidRPr="00A81DE6">
        <w:rPr>
          <w:sz w:val="24"/>
          <w:szCs w:val="24"/>
        </w:rPr>
        <w:t>fertilitet og ektopisk graviditet.</w:t>
      </w:r>
    </w:p>
    <w:p w:rsidR="008D5AF9" w:rsidRPr="00A81DE6" w:rsidRDefault="008D5AF9" w:rsidP="008D5AF9">
      <w:pPr>
        <w:rPr>
          <w:sz w:val="24"/>
          <w:szCs w:val="24"/>
        </w:rPr>
      </w:pPr>
      <w:r w:rsidRPr="00A81DE6">
        <w:rPr>
          <w:sz w:val="24"/>
          <w:szCs w:val="24"/>
        </w:rPr>
        <w:t xml:space="preserve">Sexually acquired reactive arthritis (SARA) kan forårsages af klamydiainfektioner. Tilstanden ses hyppigst hos unge mænd der er positive for vævstypen HLA-B27. Sygdommen er en multisystem sygdom, som oftest debuterer inden for 30 dage efter smitte, hvor der kan ses en kombination af uretrit, konjunktivit og artrit med eller uden mukokutane symptomer. Tilstanden er hos de fleste selvlimiterende, men der er risiko for kroniske gener. Ekstragenitale symptomer bør vurderes af relevante specialer som reumatologi og oftalmologi </w:t>
      </w:r>
      <w:r w:rsidRPr="00A81DE6">
        <w:rPr>
          <w:noProof/>
          <w:sz w:val="24"/>
          <w:szCs w:val="24"/>
        </w:rPr>
        <w:t>(8, 10)</w:t>
      </w:r>
      <w:r w:rsidRPr="00A81DE6">
        <w:rPr>
          <w:sz w:val="24"/>
          <w:szCs w:val="24"/>
        </w:rPr>
        <w:t xml:space="preserve">. </w:t>
      </w:r>
    </w:p>
    <w:p w:rsidR="008D5AF9" w:rsidRPr="002F6BFC" w:rsidRDefault="008D5AF9" w:rsidP="008D5AF9">
      <w:pPr>
        <w:pStyle w:val="Ingenafstand"/>
        <w:rPr>
          <w:b/>
          <w:bCs/>
          <w:sz w:val="24"/>
          <w:szCs w:val="24"/>
        </w:rPr>
      </w:pPr>
      <w:r w:rsidRPr="002F6BFC">
        <w:rPr>
          <w:b/>
          <w:bCs/>
          <w:sz w:val="24"/>
          <w:szCs w:val="24"/>
        </w:rPr>
        <w:lastRenderedPageBreak/>
        <w:t>Diagnostik</w:t>
      </w:r>
    </w:p>
    <w:p w:rsidR="008D5AF9" w:rsidRPr="002F6BFC" w:rsidRDefault="008D5AF9" w:rsidP="008D5AF9">
      <w:pPr>
        <w:pStyle w:val="Ingenafstand"/>
        <w:rPr>
          <w:b/>
          <w:bCs/>
          <w:sz w:val="24"/>
          <w:szCs w:val="24"/>
        </w:rPr>
      </w:pPr>
    </w:p>
    <w:p w:rsidR="008D5AF9" w:rsidRPr="00915909" w:rsidRDefault="008D5AF9" w:rsidP="008D5AF9">
      <w:pPr>
        <w:pStyle w:val="Ingenafstand"/>
        <w:rPr>
          <w:sz w:val="24"/>
          <w:szCs w:val="24"/>
        </w:rPr>
      </w:pPr>
      <w:r w:rsidRPr="002F6BFC">
        <w:rPr>
          <w:sz w:val="24"/>
          <w:szCs w:val="24"/>
        </w:rPr>
        <w:t xml:space="preserve">Se tabel </w:t>
      </w:r>
      <w:r>
        <w:rPr>
          <w:sz w:val="24"/>
          <w:szCs w:val="24"/>
        </w:rPr>
        <w:t>1</w:t>
      </w:r>
    </w:p>
    <w:p w:rsidR="008D5AF9" w:rsidRPr="00482AA8" w:rsidRDefault="008D5AF9" w:rsidP="008D5AF9">
      <w:pPr>
        <w:rPr>
          <w:sz w:val="24"/>
          <w:szCs w:val="24"/>
        </w:rPr>
      </w:pPr>
      <w:r>
        <w:rPr>
          <w:sz w:val="24"/>
          <w:szCs w:val="24"/>
        </w:rPr>
        <w:t>M</w:t>
      </w:r>
      <w:r w:rsidRPr="00482AA8">
        <w:rPr>
          <w:sz w:val="24"/>
          <w:szCs w:val="24"/>
        </w:rPr>
        <w:t>ikroskopi efter farvning med methylenblåt. Her vil der ved non-</w:t>
      </w:r>
      <w:r w:rsidR="00682D70">
        <w:rPr>
          <w:sz w:val="24"/>
          <w:szCs w:val="24"/>
        </w:rPr>
        <w:t>gonorroisk</w:t>
      </w:r>
      <w:r w:rsidRPr="00482AA8">
        <w:rPr>
          <w:sz w:val="24"/>
          <w:szCs w:val="24"/>
        </w:rPr>
        <w:t xml:space="preserve"> uretrit ses </w:t>
      </w:r>
      <w:r w:rsidRPr="00482AA8">
        <w:rPr>
          <w:rFonts w:cstheme="minorHAnsi"/>
          <w:sz w:val="24"/>
          <w:szCs w:val="24"/>
        </w:rPr>
        <w:t>≥</w:t>
      </w:r>
      <w:r w:rsidRPr="00482AA8">
        <w:rPr>
          <w:sz w:val="24"/>
          <w:szCs w:val="24"/>
        </w:rPr>
        <w:t xml:space="preserve"> 5 PML pr. synsfelt uden intracellulært lejrede diplokokker (x 100 objektiv). Ved non-</w:t>
      </w:r>
      <w:r w:rsidR="00682D70">
        <w:rPr>
          <w:sz w:val="24"/>
          <w:szCs w:val="24"/>
        </w:rPr>
        <w:t>gonorroisk</w:t>
      </w:r>
      <w:r w:rsidRPr="00482AA8">
        <w:rPr>
          <w:sz w:val="24"/>
          <w:szCs w:val="24"/>
        </w:rPr>
        <w:t xml:space="preserve"> cervitit ses </w:t>
      </w:r>
      <w:r w:rsidRPr="00482AA8">
        <w:rPr>
          <w:rFonts w:cstheme="minorHAnsi"/>
          <w:sz w:val="24"/>
          <w:szCs w:val="24"/>
        </w:rPr>
        <w:t>≥</w:t>
      </w:r>
      <w:r w:rsidRPr="00482AA8">
        <w:rPr>
          <w:sz w:val="24"/>
          <w:szCs w:val="24"/>
        </w:rPr>
        <w:t xml:space="preserve"> 30 PML</w:t>
      </w:r>
      <w:r>
        <w:rPr>
          <w:sz w:val="24"/>
          <w:szCs w:val="24"/>
        </w:rPr>
        <w:t xml:space="preserve"> </w:t>
      </w:r>
      <w:r w:rsidRPr="00482AA8">
        <w:rPr>
          <w:sz w:val="24"/>
          <w:szCs w:val="24"/>
        </w:rPr>
        <w:t xml:space="preserve">pr.synsfelt uden intracellulært lejrede diplokokker (x 100 objektiv), </w:t>
      </w:r>
      <w:r w:rsidRPr="00482AA8">
        <w:rPr>
          <w:noProof/>
          <w:sz w:val="24"/>
          <w:szCs w:val="24"/>
        </w:rPr>
        <w:t>(8, 11, 12)</w:t>
      </w:r>
    </w:p>
    <w:p w:rsidR="008D5AF9" w:rsidRPr="008D5AF9" w:rsidRDefault="008D5AF9" w:rsidP="008D5AF9">
      <w:pPr>
        <w:rPr>
          <w:sz w:val="24"/>
          <w:szCs w:val="24"/>
        </w:rPr>
      </w:pPr>
      <w:r w:rsidRPr="008D5AF9">
        <w:rPr>
          <w:sz w:val="24"/>
          <w:szCs w:val="24"/>
        </w:rPr>
        <w:t>Podning eller urin for NAT</w:t>
      </w:r>
      <w:r>
        <w:rPr>
          <w:sz w:val="24"/>
          <w:szCs w:val="24"/>
        </w:rPr>
        <w:t>:</w:t>
      </w:r>
    </w:p>
    <w:p w:rsidR="008D5AF9" w:rsidRDefault="008D5AF9" w:rsidP="008D5AF9">
      <w:pPr>
        <w:rPr>
          <w:i/>
          <w:iCs/>
          <w:sz w:val="24"/>
          <w:szCs w:val="24"/>
        </w:rPr>
      </w:pPr>
      <w:r w:rsidRPr="00482AA8">
        <w:rPr>
          <w:i/>
          <w:iCs/>
          <w:sz w:val="24"/>
          <w:szCs w:val="24"/>
        </w:rPr>
        <w:t>C. trachomatis</w:t>
      </w:r>
      <w:r w:rsidRPr="00482AA8">
        <w:rPr>
          <w:sz w:val="24"/>
          <w:szCs w:val="24"/>
        </w:rPr>
        <w:t xml:space="preserve"> kan diagnosticeres ved NAT som både har en høj sensitivitet (&gt;90%) og specificitet (99%). </w:t>
      </w:r>
      <w:r w:rsidRPr="00915909">
        <w:rPr>
          <w:sz w:val="24"/>
          <w:szCs w:val="24"/>
        </w:rPr>
        <w:t xml:space="preserve">På de fleste mikrobiologiske afdelinger testes med en kombi-test for både </w:t>
      </w:r>
      <w:r w:rsidRPr="00915909">
        <w:rPr>
          <w:i/>
          <w:iCs/>
          <w:sz w:val="24"/>
          <w:szCs w:val="24"/>
        </w:rPr>
        <w:t>C. trachomatis</w:t>
      </w:r>
      <w:r w:rsidRPr="00915909">
        <w:rPr>
          <w:sz w:val="24"/>
          <w:szCs w:val="24"/>
        </w:rPr>
        <w:t xml:space="preserve"> og </w:t>
      </w:r>
      <w:r w:rsidRPr="00915909">
        <w:rPr>
          <w:i/>
          <w:iCs/>
          <w:sz w:val="24"/>
          <w:szCs w:val="24"/>
        </w:rPr>
        <w:t>N. gonorrhoeae</w:t>
      </w:r>
      <w:r>
        <w:rPr>
          <w:i/>
          <w:iCs/>
          <w:sz w:val="24"/>
          <w:szCs w:val="24"/>
        </w:rPr>
        <w:t>.</w:t>
      </w:r>
    </w:p>
    <w:p w:rsidR="008D5AF9" w:rsidRPr="00915909" w:rsidRDefault="008D5AF9" w:rsidP="008D5AF9">
      <w:pPr>
        <w:rPr>
          <w:sz w:val="24"/>
          <w:szCs w:val="24"/>
        </w:rPr>
      </w:pPr>
      <w:r w:rsidRPr="00915909">
        <w:rPr>
          <w:sz w:val="24"/>
          <w:szCs w:val="24"/>
        </w:rPr>
        <w:t xml:space="preserve">Vaginalpodning for </w:t>
      </w:r>
      <w:r w:rsidRPr="00915909">
        <w:rPr>
          <w:i/>
          <w:iCs/>
          <w:sz w:val="24"/>
          <w:szCs w:val="24"/>
        </w:rPr>
        <w:t>C. trachomatis</w:t>
      </w:r>
      <w:r w:rsidRPr="00915909">
        <w:rPr>
          <w:sz w:val="24"/>
          <w:szCs w:val="24"/>
        </w:rPr>
        <w:t xml:space="preserve"> er fundet at være lige så sensitiv alene som i kombination med førstladt urin, hvorfor kvinder uden symptomer kan tage den selv</w:t>
      </w:r>
      <w:r w:rsidR="00655A3F">
        <w:rPr>
          <w:sz w:val="24"/>
          <w:szCs w:val="24"/>
        </w:rPr>
        <w:t>.</w:t>
      </w:r>
    </w:p>
    <w:p w:rsidR="008D5AF9" w:rsidRPr="00482AA8" w:rsidRDefault="008D5AF9" w:rsidP="008D5AF9">
      <w:pPr>
        <w:rPr>
          <w:sz w:val="24"/>
          <w:szCs w:val="24"/>
        </w:rPr>
      </w:pPr>
      <w:r w:rsidRPr="00482AA8">
        <w:rPr>
          <w:sz w:val="24"/>
          <w:szCs w:val="24"/>
        </w:rPr>
        <w:t xml:space="preserve">Uretral podning og førstladt urin har samme sensitivitet og specificitet for påvisning af </w:t>
      </w:r>
      <w:r w:rsidRPr="00482AA8">
        <w:rPr>
          <w:i/>
          <w:iCs/>
          <w:sz w:val="24"/>
          <w:szCs w:val="24"/>
        </w:rPr>
        <w:t>C. trachomatis</w:t>
      </w:r>
      <w:r w:rsidR="00655A3F">
        <w:rPr>
          <w:i/>
          <w:iCs/>
          <w:sz w:val="24"/>
          <w:szCs w:val="24"/>
        </w:rPr>
        <w:t>.</w:t>
      </w:r>
    </w:p>
    <w:p w:rsidR="008D5AF9" w:rsidRPr="00482AA8" w:rsidRDefault="008D5AF9" w:rsidP="008D5AF9">
      <w:pPr>
        <w:rPr>
          <w:sz w:val="24"/>
          <w:szCs w:val="24"/>
        </w:rPr>
      </w:pPr>
      <w:r w:rsidRPr="00482AA8">
        <w:rPr>
          <w:sz w:val="24"/>
          <w:szCs w:val="24"/>
        </w:rPr>
        <w:t xml:space="preserve">Ved positiv rektal klamydiapodning skal prøven undersøges for </w:t>
      </w:r>
      <w:r w:rsidRPr="00482AA8">
        <w:rPr>
          <w:i/>
          <w:iCs/>
          <w:sz w:val="24"/>
          <w:szCs w:val="24"/>
        </w:rPr>
        <w:t xml:space="preserve">Lymfogranuloma venereum </w:t>
      </w:r>
      <w:r w:rsidRPr="00482AA8">
        <w:rPr>
          <w:sz w:val="24"/>
          <w:szCs w:val="24"/>
        </w:rPr>
        <w:t>(LGV).</w:t>
      </w:r>
    </w:p>
    <w:p w:rsidR="008D5AF9" w:rsidRPr="002F6BFC" w:rsidRDefault="008D5AF9" w:rsidP="008D5AF9">
      <w:pPr>
        <w:rPr>
          <w:b/>
          <w:bCs/>
          <w:sz w:val="24"/>
          <w:szCs w:val="24"/>
        </w:rPr>
      </w:pPr>
      <w:r w:rsidRPr="002F6BFC">
        <w:rPr>
          <w:b/>
          <w:bCs/>
          <w:sz w:val="24"/>
          <w:szCs w:val="24"/>
        </w:rPr>
        <w:t>Behandling</w:t>
      </w:r>
    </w:p>
    <w:p w:rsidR="008D5AF9" w:rsidRDefault="008D5AF9" w:rsidP="008D5AF9">
      <w:pPr>
        <w:rPr>
          <w:i/>
          <w:iCs/>
          <w:sz w:val="24"/>
          <w:szCs w:val="24"/>
        </w:rPr>
      </w:pPr>
      <w:r w:rsidRPr="002F6BFC">
        <w:rPr>
          <w:sz w:val="24"/>
          <w:szCs w:val="24"/>
        </w:rPr>
        <w:t xml:space="preserve">Førstevalgsbehandling af klamydia er i 2019 ændret fra tbl. </w:t>
      </w:r>
      <w:r>
        <w:rPr>
          <w:sz w:val="24"/>
          <w:szCs w:val="24"/>
        </w:rPr>
        <w:t>a</w:t>
      </w:r>
      <w:r w:rsidRPr="002F6BFC">
        <w:rPr>
          <w:sz w:val="24"/>
          <w:szCs w:val="24"/>
        </w:rPr>
        <w:t xml:space="preserve">zithromycin 1g til tbl. doxycyklin 100 mg x 2 i 7 dage. Dette skyldes risikoen for azithromycinresistens ved behandling af </w:t>
      </w:r>
      <w:r w:rsidRPr="003E1F62">
        <w:rPr>
          <w:i/>
          <w:iCs/>
          <w:sz w:val="24"/>
          <w:szCs w:val="24"/>
        </w:rPr>
        <w:t>Mycoplasma genitalium</w:t>
      </w:r>
      <w:r>
        <w:rPr>
          <w:sz w:val="24"/>
          <w:szCs w:val="24"/>
        </w:rPr>
        <w:t xml:space="preserve"> infektion</w:t>
      </w:r>
      <w:r w:rsidRPr="003E1F62">
        <w:rPr>
          <w:i/>
          <w:iCs/>
          <w:sz w:val="24"/>
          <w:szCs w:val="24"/>
        </w:rPr>
        <w:t>.</w:t>
      </w:r>
    </w:p>
    <w:p w:rsidR="008D5AF9" w:rsidRDefault="008D5AF9" w:rsidP="008D5AF9">
      <w:pPr>
        <w:rPr>
          <w:i/>
          <w:iCs/>
          <w:sz w:val="24"/>
          <w:szCs w:val="24"/>
        </w:rPr>
      </w:pPr>
    </w:p>
    <w:p w:rsidR="008D5AF9" w:rsidRDefault="008D5AF9" w:rsidP="008D5AF9">
      <w:pPr>
        <w:rPr>
          <w:i/>
          <w:iCs/>
          <w:sz w:val="24"/>
          <w:szCs w:val="24"/>
        </w:rPr>
      </w:pPr>
    </w:p>
    <w:p w:rsidR="008D5AF9" w:rsidRDefault="008D5AF9" w:rsidP="008D5AF9">
      <w:pPr>
        <w:rPr>
          <w:i/>
          <w:iCs/>
          <w:sz w:val="24"/>
          <w:szCs w:val="24"/>
        </w:rPr>
      </w:pPr>
    </w:p>
    <w:p w:rsidR="00804FBD" w:rsidRDefault="00804FBD" w:rsidP="008D5AF9">
      <w:pPr>
        <w:rPr>
          <w:i/>
          <w:iCs/>
          <w:sz w:val="24"/>
          <w:szCs w:val="24"/>
        </w:rPr>
      </w:pPr>
    </w:p>
    <w:p w:rsidR="00804FBD" w:rsidRDefault="00804FBD" w:rsidP="008D5AF9">
      <w:pPr>
        <w:rPr>
          <w:i/>
          <w:iCs/>
          <w:sz w:val="24"/>
          <w:szCs w:val="24"/>
        </w:rPr>
      </w:pPr>
    </w:p>
    <w:p w:rsidR="008D5AF9" w:rsidRDefault="008D5AF9" w:rsidP="008D5AF9">
      <w:pPr>
        <w:rPr>
          <w:i/>
          <w:iCs/>
          <w:sz w:val="24"/>
          <w:szCs w:val="24"/>
        </w:rPr>
      </w:pPr>
    </w:p>
    <w:p w:rsidR="008D5AF9" w:rsidRDefault="008D5AF9" w:rsidP="008D5AF9">
      <w:pPr>
        <w:rPr>
          <w:i/>
          <w:iCs/>
          <w:sz w:val="24"/>
          <w:szCs w:val="24"/>
        </w:rPr>
      </w:pPr>
    </w:p>
    <w:p w:rsidR="008D5AF9" w:rsidRDefault="008D5AF9" w:rsidP="008D5AF9">
      <w:pPr>
        <w:rPr>
          <w:i/>
          <w:iCs/>
          <w:sz w:val="24"/>
          <w:szCs w:val="24"/>
        </w:rPr>
      </w:pPr>
    </w:p>
    <w:p w:rsidR="008D5AF9" w:rsidRDefault="008D5AF9" w:rsidP="008D5AF9">
      <w:pPr>
        <w:rPr>
          <w:i/>
          <w:iCs/>
          <w:sz w:val="24"/>
          <w:szCs w:val="24"/>
        </w:rPr>
      </w:pPr>
    </w:p>
    <w:p w:rsidR="008D5AF9" w:rsidRPr="003E1F62" w:rsidRDefault="008D5AF9" w:rsidP="008D5AF9">
      <w:pPr>
        <w:rPr>
          <w:i/>
          <w:iCs/>
          <w:sz w:val="24"/>
          <w:szCs w:val="24"/>
        </w:rPr>
      </w:pPr>
    </w:p>
    <w:tbl>
      <w:tblPr>
        <w:tblStyle w:val="Tabel-Gitter"/>
        <w:tblW w:w="10450" w:type="dxa"/>
        <w:tblLook w:val="04A0" w:firstRow="1" w:lastRow="0" w:firstColumn="1" w:lastColumn="0" w:noHBand="0" w:noVBand="1"/>
      </w:tblPr>
      <w:tblGrid>
        <w:gridCol w:w="3483"/>
        <w:gridCol w:w="3483"/>
        <w:gridCol w:w="3484"/>
      </w:tblGrid>
      <w:tr w:rsidR="008D5AF9" w:rsidTr="008D5AF9">
        <w:trPr>
          <w:trHeight w:val="278"/>
        </w:trPr>
        <w:tc>
          <w:tcPr>
            <w:tcW w:w="10450" w:type="dxa"/>
            <w:gridSpan w:val="3"/>
            <w:shd w:val="clear" w:color="auto" w:fill="auto"/>
          </w:tcPr>
          <w:p w:rsidR="008D5AF9" w:rsidRDefault="008D5AF9" w:rsidP="008D5AF9">
            <w:pPr>
              <w:pStyle w:val="Ingenafstand"/>
              <w:rPr>
                <w:sz w:val="24"/>
                <w:szCs w:val="24"/>
              </w:rPr>
            </w:pPr>
            <w:r w:rsidRPr="00F605BD">
              <w:rPr>
                <w:b/>
                <w:bCs/>
                <w:sz w:val="24"/>
                <w:szCs w:val="24"/>
              </w:rPr>
              <w:lastRenderedPageBreak/>
              <w:t xml:space="preserve">Tabel </w:t>
            </w:r>
            <w:r>
              <w:rPr>
                <w:b/>
                <w:bCs/>
                <w:sz w:val="24"/>
                <w:szCs w:val="24"/>
              </w:rPr>
              <w:t xml:space="preserve">3   </w:t>
            </w:r>
            <w:r>
              <w:rPr>
                <w:sz w:val="24"/>
                <w:szCs w:val="24"/>
              </w:rPr>
              <w:t>Behandling af Klamydia</w:t>
            </w:r>
          </w:p>
          <w:p w:rsidR="008D5AF9" w:rsidRDefault="008D5AF9" w:rsidP="008D5AF9">
            <w:pPr>
              <w:pStyle w:val="Ingenafstand"/>
              <w:rPr>
                <w:sz w:val="24"/>
                <w:szCs w:val="24"/>
              </w:rPr>
            </w:pPr>
          </w:p>
        </w:tc>
      </w:tr>
      <w:tr w:rsidR="008D5AF9" w:rsidTr="008D5AF9">
        <w:trPr>
          <w:trHeight w:val="278"/>
        </w:trPr>
        <w:tc>
          <w:tcPr>
            <w:tcW w:w="3483" w:type="dxa"/>
            <w:tcBorders>
              <w:bottom w:val="single" w:sz="4" w:space="0" w:color="auto"/>
            </w:tcBorders>
          </w:tcPr>
          <w:p w:rsidR="008D5AF9" w:rsidRDefault="008D5AF9" w:rsidP="008D5AF9">
            <w:pPr>
              <w:pStyle w:val="Ingenafstand"/>
              <w:rPr>
                <w:sz w:val="24"/>
                <w:szCs w:val="24"/>
              </w:rPr>
            </w:pPr>
          </w:p>
        </w:tc>
        <w:tc>
          <w:tcPr>
            <w:tcW w:w="3483" w:type="dxa"/>
            <w:tcBorders>
              <w:bottom w:val="single" w:sz="4" w:space="0" w:color="auto"/>
            </w:tcBorders>
          </w:tcPr>
          <w:p w:rsidR="008D5AF9" w:rsidRDefault="008D5AF9" w:rsidP="008D5AF9">
            <w:pPr>
              <w:pStyle w:val="Ingenafstand"/>
              <w:rPr>
                <w:sz w:val="24"/>
                <w:szCs w:val="24"/>
              </w:rPr>
            </w:pPr>
            <w:r>
              <w:rPr>
                <w:sz w:val="24"/>
                <w:szCs w:val="24"/>
              </w:rPr>
              <w:t>Førstevalgs behandling</w:t>
            </w:r>
          </w:p>
        </w:tc>
        <w:tc>
          <w:tcPr>
            <w:tcW w:w="3484" w:type="dxa"/>
            <w:tcBorders>
              <w:bottom w:val="single" w:sz="4" w:space="0" w:color="auto"/>
            </w:tcBorders>
          </w:tcPr>
          <w:p w:rsidR="008D5AF9" w:rsidRDefault="008D5AF9" w:rsidP="008D5AF9">
            <w:pPr>
              <w:pStyle w:val="Ingenafstand"/>
              <w:rPr>
                <w:sz w:val="24"/>
                <w:szCs w:val="24"/>
              </w:rPr>
            </w:pPr>
            <w:r>
              <w:rPr>
                <w:sz w:val="24"/>
                <w:szCs w:val="24"/>
              </w:rPr>
              <w:t>Alternativ behandling</w:t>
            </w:r>
          </w:p>
        </w:tc>
      </w:tr>
      <w:tr w:rsidR="008D5AF9" w:rsidTr="008D5AF9">
        <w:trPr>
          <w:trHeight w:val="572"/>
        </w:trPr>
        <w:tc>
          <w:tcPr>
            <w:tcW w:w="3483" w:type="dxa"/>
            <w:tcBorders>
              <w:top w:val="single" w:sz="4" w:space="0" w:color="auto"/>
              <w:left w:val="single" w:sz="4" w:space="0" w:color="auto"/>
              <w:bottom w:val="nil"/>
              <w:right w:val="nil"/>
            </w:tcBorders>
          </w:tcPr>
          <w:p w:rsidR="008D5AF9" w:rsidRDefault="008D5AF9" w:rsidP="008D5AF9">
            <w:pPr>
              <w:pStyle w:val="Ingenafstand"/>
              <w:rPr>
                <w:sz w:val="24"/>
                <w:szCs w:val="24"/>
              </w:rPr>
            </w:pPr>
            <w:r>
              <w:rPr>
                <w:sz w:val="24"/>
                <w:szCs w:val="24"/>
              </w:rPr>
              <w:t>Ukompliceret Klamydia</w:t>
            </w:r>
          </w:p>
        </w:tc>
        <w:tc>
          <w:tcPr>
            <w:tcW w:w="3483" w:type="dxa"/>
            <w:tcBorders>
              <w:top w:val="single" w:sz="4" w:space="0" w:color="auto"/>
              <w:left w:val="nil"/>
              <w:bottom w:val="nil"/>
              <w:right w:val="nil"/>
            </w:tcBorders>
          </w:tcPr>
          <w:p w:rsidR="008D5AF9" w:rsidRPr="00562D57" w:rsidRDefault="008D5AF9" w:rsidP="008D5AF9">
            <w:pPr>
              <w:pStyle w:val="Ingenafstand"/>
              <w:rPr>
                <w:sz w:val="24"/>
                <w:szCs w:val="24"/>
              </w:rPr>
            </w:pPr>
            <w:r>
              <w:rPr>
                <w:sz w:val="24"/>
                <w:szCs w:val="24"/>
              </w:rPr>
              <w:t xml:space="preserve">Tbl. doxycyklin 100 mg x 2 i 7 dage </w:t>
            </w:r>
            <w:r>
              <w:rPr>
                <w:noProof/>
                <w:sz w:val="24"/>
                <w:szCs w:val="24"/>
              </w:rPr>
              <w:t>(8)</w:t>
            </w:r>
          </w:p>
        </w:tc>
        <w:tc>
          <w:tcPr>
            <w:tcW w:w="3484" w:type="dxa"/>
            <w:tcBorders>
              <w:top w:val="single" w:sz="4" w:space="0" w:color="auto"/>
              <w:left w:val="nil"/>
              <w:bottom w:val="nil"/>
              <w:right w:val="single" w:sz="4" w:space="0" w:color="auto"/>
            </w:tcBorders>
          </w:tcPr>
          <w:p w:rsidR="008D5AF9" w:rsidRDefault="008D5AF9" w:rsidP="008D5AF9">
            <w:pPr>
              <w:pStyle w:val="Ingenafstand"/>
              <w:rPr>
                <w:sz w:val="24"/>
                <w:szCs w:val="24"/>
              </w:rPr>
            </w:pPr>
            <w:r>
              <w:rPr>
                <w:sz w:val="24"/>
                <w:szCs w:val="24"/>
              </w:rPr>
              <w:t xml:space="preserve">Tbl. azithromycin 1 g som engangsdosis (kun hvis f.eks. doxycyklin ikke tåles), </w:t>
            </w:r>
            <w:r>
              <w:rPr>
                <w:noProof/>
                <w:sz w:val="24"/>
                <w:szCs w:val="24"/>
              </w:rPr>
              <w:t>(8)</w:t>
            </w:r>
          </w:p>
          <w:p w:rsidR="008D5AF9" w:rsidRDefault="008D5AF9" w:rsidP="008D5AF9">
            <w:pPr>
              <w:pStyle w:val="Ingenafstand"/>
              <w:rPr>
                <w:sz w:val="24"/>
                <w:szCs w:val="24"/>
              </w:rPr>
            </w:pPr>
          </w:p>
        </w:tc>
      </w:tr>
      <w:tr w:rsidR="008D5AF9" w:rsidTr="008D5AF9">
        <w:trPr>
          <w:trHeight w:val="572"/>
        </w:trPr>
        <w:tc>
          <w:tcPr>
            <w:tcW w:w="3483" w:type="dxa"/>
            <w:tcBorders>
              <w:top w:val="nil"/>
              <w:left w:val="single" w:sz="4" w:space="0" w:color="auto"/>
              <w:bottom w:val="nil"/>
              <w:right w:val="nil"/>
            </w:tcBorders>
          </w:tcPr>
          <w:p w:rsidR="008D5AF9" w:rsidRDefault="008D5AF9" w:rsidP="008D5AF9">
            <w:pPr>
              <w:pStyle w:val="Ingenafstand"/>
              <w:rPr>
                <w:sz w:val="24"/>
                <w:szCs w:val="24"/>
              </w:rPr>
            </w:pPr>
            <w:r>
              <w:rPr>
                <w:sz w:val="24"/>
                <w:szCs w:val="24"/>
              </w:rPr>
              <w:t>Graviditet</w:t>
            </w:r>
          </w:p>
        </w:tc>
        <w:tc>
          <w:tcPr>
            <w:tcW w:w="3483" w:type="dxa"/>
            <w:tcBorders>
              <w:top w:val="nil"/>
              <w:left w:val="nil"/>
              <w:bottom w:val="nil"/>
              <w:right w:val="nil"/>
            </w:tcBorders>
          </w:tcPr>
          <w:p w:rsidR="008D5AF9" w:rsidRDefault="008D5AF9" w:rsidP="008D5AF9">
            <w:pPr>
              <w:pStyle w:val="Ingenafstand"/>
              <w:rPr>
                <w:sz w:val="24"/>
                <w:szCs w:val="24"/>
              </w:rPr>
            </w:pPr>
            <w:r>
              <w:rPr>
                <w:sz w:val="24"/>
                <w:szCs w:val="24"/>
              </w:rPr>
              <w:t xml:space="preserve">Tbl.  azithromycin 1 g som engangsdosis </w:t>
            </w:r>
            <w:r>
              <w:rPr>
                <w:noProof/>
                <w:sz w:val="24"/>
                <w:szCs w:val="24"/>
              </w:rPr>
              <w:t>(8)</w:t>
            </w:r>
          </w:p>
        </w:tc>
        <w:tc>
          <w:tcPr>
            <w:tcW w:w="3484" w:type="dxa"/>
            <w:tcBorders>
              <w:top w:val="nil"/>
              <w:left w:val="nil"/>
              <w:bottom w:val="nil"/>
              <w:right w:val="single" w:sz="4" w:space="0" w:color="auto"/>
            </w:tcBorders>
          </w:tcPr>
          <w:p w:rsidR="008D5AF9" w:rsidRDefault="008D5AF9" w:rsidP="008D5AF9">
            <w:pPr>
              <w:pStyle w:val="Ingenafstand"/>
              <w:rPr>
                <w:sz w:val="24"/>
                <w:szCs w:val="24"/>
              </w:rPr>
            </w:pPr>
            <w:r w:rsidRPr="002F6BFC">
              <w:rPr>
                <w:sz w:val="24"/>
                <w:szCs w:val="24"/>
              </w:rPr>
              <w:t>Tbl amoxicillin 500 mg x 2 dagligt i 7 dage</w:t>
            </w:r>
            <w:r>
              <w:rPr>
                <w:sz w:val="24"/>
                <w:szCs w:val="24"/>
              </w:rPr>
              <w:t xml:space="preserve"> </w:t>
            </w:r>
            <w:r>
              <w:rPr>
                <w:noProof/>
                <w:sz w:val="24"/>
                <w:szCs w:val="24"/>
              </w:rPr>
              <w:t>(8)</w:t>
            </w:r>
          </w:p>
          <w:p w:rsidR="008D5AF9" w:rsidRDefault="008D5AF9" w:rsidP="008D5AF9">
            <w:pPr>
              <w:pStyle w:val="Ingenafstand"/>
              <w:rPr>
                <w:sz w:val="24"/>
                <w:szCs w:val="24"/>
              </w:rPr>
            </w:pPr>
          </w:p>
        </w:tc>
      </w:tr>
      <w:tr w:rsidR="008D5AF9" w:rsidRPr="001167B7" w:rsidTr="008D5AF9">
        <w:trPr>
          <w:trHeight w:val="850"/>
        </w:trPr>
        <w:tc>
          <w:tcPr>
            <w:tcW w:w="3483" w:type="dxa"/>
            <w:tcBorders>
              <w:top w:val="nil"/>
              <w:left w:val="single" w:sz="4" w:space="0" w:color="auto"/>
              <w:bottom w:val="nil"/>
              <w:right w:val="nil"/>
            </w:tcBorders>
          </w:tcPr>
          <w:p w:rsidR="008D5AF9" w:rsidRDefault="008D5AF9" w:rsidP="008D5AF9">
            <w:pPr>
              <w:pStyle w:val="Ingenafstand"/>
              <w:rPr>
                <w:sz w:val="24"/>
                <w:szCs w:val="24"/>
              </w:rPr>
            </w:pPr>
            <w:r>
              <w:rPr>
                <w:sz w:val="24"/>
                <w:szCs w:val="24"/>
              </w:rPr>
              <w:t>Kompliceret Klamydia:</w:t>
            </w:r>
          </w:p>
          <w:p w:rsidR="008D5AF9" w:rsidRDefault="008D5AF9" w:rsidP="008D5AF9">
            <w:pPr>
              <w:pStyle w:val="Ingenafstand"/>
              <w:rPr>
                <w:sz w:val="24"/>
                <w:szCs w:val="24"/>
              </w:rPr>
            </w:pPr>
            <w:r>
              <w:rPr>
                <w:sz w:val="24"/>
                <w:szCs w:val="24"/>
              </w:rPr>
              <w:t>Epididymit</w:t>
            </w:r>
          </w:p>
        </w:tc>
        <w:tc>
          <w:tcPr>
            <w:tcW w:w="3483" w:type="dxa"/>
            <w:tcBorders>
              <w:top w:val="nil"/>
              <w:left w:val="nil"/>
              <w:bottom w:val="nil"/>
              <w:right w:val="nil"/>
            </w:tcBorders>
          </w:tcPr>
          <w:p w:rsidR="008D5AF9" w:rsidRPr="001167B7" w:rsidRDefault="008D5AF9" w:rsidP="008D5AF9">
            <w:pPr>
              <w:pStyle w:val="Ingenafstand"/>
              <w:rPr>
                <w:sz w:val="24"/>
                <w:szCs w:val="24"/>
              </w:rPr>
            </w:pPr>
            <w:r>
              <w:rPr>
                <w:sz w:val="24"/>
                <w:szCs w:val="24"/>
              </w:rPr>
              <w:t xml:space="preserve">Tbl. doxycyklin 100 mg x 2 i 14 dage </w:t>
            </w:r>
            <w:r>
              <w:rPr>
                <w:noProof/>
                <w:sz w:val="24"/>
                <w:szCs w:val="24"/>
              </w:rPr>
              <w:t>(6)</w:t>
            </w:r>
          </w:p>
        </w:tc>
        <w:tc>
          <w:tcPr>
            <w:tcW w:w="3484" w:type="dxa"/>
            <w:tcBorders>
              <w:top w:val="nil"/>
              <w:left w:val="nil"/>
              <w:bottom w:val="nil"/>
              <w:right w:val="single" w:sz="4" w:space="0" w:color="auto"/>
            </w:tcBorders>
          </w:tcPr>
          <w:p w:rsidR="008D5AF9" w:rsidRPr="001167B7" w:rsidRDefault="008D5AF9" w:rsidP="008D5AF9">
            <w:pPr>
              <w:pStyle w:val="Ingenafstand"/>
              <w:rPr>
                <w:sz w:val="24"/>
                <w:szCs w:val="24"/>
              </w:rPr>
            </w:pPr>
          </w:p>
        </w:tc>
      </w:tr>
      <w:tr w:rsidR="008D5AF9" w:rsidRPr="001167B7" w:rsidTr="008D5AF9">
        <w:trPr>
          <w:trHeight w:val="572"/>
        </w:trPr>
        <w:tc>
          <w:tcPr>
            <w:tcW w:w="3483" w:type="dxa"/>
            <w:tcBorders>
              <w:top w:val="nil"/>
              <w:left w:val="single" w:sz="4" w:space="0" w:color="auto"/>
              <w:bottom w:val="nil"/>
              <w:right w:val="nil"/>
            </w:tcBorders>
          </w:tcPr>
          <w:p w:rsidR="008D5AF9" w:rsidRDefault="008D5AF9" w:rsidP="008D5AF9">
            <w:pPr>
              <w:pStyle w:val="Ingenafstand"/>
              <w:rPr>
                <w:sz w:val="24"/>
                <w:szCs w:val="24"/>
              </w:rPr>
            </w:pPr>
            <w:r>
              <w:rPr>
                <w:sz w:val="24"/>
                <w:szCs w:val="24"/>
              </w:rPr>
              <w:t>Kompliceret Klamydia:</w:t>
            </w:r>
          </w:p>
          <w:p w:rsidR="008D5AF9" w:rsidRPr="001167B7" w:rsidRDefault="008D5AF9" w:rsidP="008D5AF9">
            <w:pPr>
              <w:pStyle w:val="Ingenafstand"/>
              <w:rPr>
                <w:sz w:val="24"/>
                <w:szCs w:val="24"/>
              </w:rPr>
            </w:pPr>
            <w:r>
              <w:rPr>
                <w:sz w:val="24"/>
                <w:szCs w:val="24"/>
              </w:rPr>
              <w:t>Salpingit</w:t>
            </w:r>
          </w:p>
        </w:tc>
        <w:tc>
          <w:tcPr>
            <w:tcW w:w="3483" w:type="dxa"/>
            <w:tcBorders>
              <w:top w:val="nil"/>
              <w:left w:val="nil"/>
              <w:bottom w:val="nil"/>
              <w:right w:val="nil"/>
            </w:tcBorders>
          </w:tcPr>
          <w:p w:rsidR="008D5AF9" w:rsidRDefault="008D5AF9" w:rsidP="008D5AF9">
            <w:pPr>
              <w:pStyle w:val="Ingenafstand"/>
              <w:rPr>
                <w:rFonts w:cstheme="minorHAnsi"/>
                <w:sz w:val="24"/>
                <w:szCs w:val="24"/>
              </w:rPr>
            </w:pPr>
            <w:r>
              <w:rPr>
                <w:sz w:val="24"/>
                <w:szCs w:val="24"/>
              </w:rPr>
              <w:t>Tbl. doxycyklin 100 mg x 2 i 14 dage + evt. tbl. metronidazol 500 mg x 2 i 14 dage</w:t>
            </w:r>
            <w:r>
              <w:rPr>
                <w:rFonts w:cstheme="minorHAnsi"/>
                <w:sz w:val="24"/>
                <w:szCs w:val="24"/>
              </w:rPr>
              <w:t xml:space="preserve">¹ </w:t>
            </w:r>
            <w:r>
              <w:rPr>
                <w:rFonts w:cstheme="minorHAnsi"/>
                <w:noProof/>
                <w:sz w:val="24"/>
                <w:szCs w:val="24"/>
              </w:rPr>
              <w:t>(7)</w:t>
            </w:r>
          </w:p>
          <w:p w:rsidR="008D5AF9" w:rsidRPr="001167B7" w:rsidRDefault="008D5AF9" w:rsidP="008D5AF9">
            <w:pPr>
              <w:pStyle w:val="Ingenafstand"/>
              <w:rPr>
                <w:sz w:val="24"/>
                <w:szCs w:val="24"/>
              </w:rPr>
            </w:pPr>
          </w:p>
        </w:tc>
        <w:tc>
          <w:tcPr>
            <w:tcW w:w="3484" w:type="dxa"/>
            <w:tcBorders>
              <w:top w:val="nil"/>
              <w:left w:val="nil"/>
              <w:bottom w:val="nil"/>
              <w:right w:val="single" w:sz="4" w:space="0" w:color="auto"/>
            </w:tcBorders>
          </w:tcPr>
          <w:p w:rsidR="008D5AF9" w:rsidRPr="001167B7" w:rsidRDefault="008D5AF9" w:rsidP="008D5AF9">
            <w:pPr>
              <w:pStyle w:val="Ingenafstand"/>
              <w:rPr>
                <w:sz w:val="24"/>
                <w:szCs w:val="24"/>
              </w:rPr>
            </w:pPr>
          </w:p>
        </w:tc>
      </w:tr>
      <w:tr w:rsidR="008D5AF9" w:rsidRPr="0004130A" w:rsidTr="008D5AF9">
        <w:trPr>
          <w:trHeight w:val="850"/>
        </w:trPr>
        <w:tc>
          <w:tcPr>
            <w:tcW w:w="3483" w:type="dxa"/>
            <w:tcBorders>
              <w:top w:val="nil"/>
              <w:left w:val="single" w:sz="4" w:space="0" w:color="auto"/>
              <w:bottom w:val="single" w:sz="4" w:space="0" w:color="auto"/>
              <w:right w:val="nil"/>
            </w:tcBorders>
          </w:tcPr>
          <w:p w:rsidR="008D5AF9" w:rsidRDefault="008D5AF9" w:rsidP="008D5AF9">
            <w:pPr>
              <w:pStyle w:val="Ingenafstand"/>
              <w:rPr>
                <w:sz w:val="24"/>
                <w:szCs w:val="24"/>
              </w:rPr>
            </w:pPr>
            <w:r>
              <w:rPr>
                <w:sz w:val="24"/>
                <w:szCs w:val="24"/>
              </w:rPr>
              <w:t xml:space="preserve"> Rektal Klamydia</w:t>
            </w:r>
          </w:p>
        </w:tc>
        <w:tc>
          <w:tcPr>
            <w:tcW w:w="3483" w:type="dxa"/>
            <w:tcBorders>
              <w:top w:val="nil"/>
              <w:left w:val="nil"/>
              <w:bottom w:val="single" w:sz="4" w:space="0" w:color="auto"/>
              <w:right w:val="nil"/>
            </w:tcBorders>
          </w:tcPr>
          <w:p w:rsidR="008D5AF9" w:rsidRPr="0004130A" w:rsidRDefault="008D5AF9" w:rsidP="008D5AF9">
            <w:pPr>
              <w:pStyle w:val="Ingenafstand"/>
              <w:rPr>
                <w:sz w:val="24"/>
                <w:szCs w:val="24"/>
              </w:rPr>
            </w:pPr>
            <w:r>
              <w:rPr>
                <w:sz w:val="24"/>
                <w:szCs w:val="24"/>
              </w:rPr>
              <w:t>Tbl. doxycyklin 100 mg x 2 i 7 dage</w:t>
            </w:r>
            <w:r>
              <w:rPr>
                <w:rFonts w:cstheme="minorHAnsi"/>
                <w:sz w:val="24"/>
                <w:szCs w:val="24"/>
              </w:rPr>
              <w:t xml:space="preserve">² </w:t>
            </w:r>
            <w:r>
              <w:rPr>
                <w:rFonts w:cstheme="minorHAnsi"/>
                <w:noProof/>
                <w:sz w:val="24"/>
                <w:szCs w:val="24"/>
              </w:rPr>
              <w:t>(8)</w:t>
            </w:r>
          </w:p>
        </w:tc>
        <w:tc>
          <w:tcPr>
            <w:tcW w:w="3484" w:type="dxa"/>
            <w:tcBorders>
              <w:top w:val="nil"/>
              <w:left w:val="nil"/>
              <w:bottom w:val="single" w:sz="4" w:space="0" w:color="auto"/>
              <w:right w:val="single" w:sz="4" w:space="0" w:color="auto"/>
            </w:tcBorders>
          </w:tcPr>
          <w:p w:rsidR="008D5AF9" w:rsidRPr="0004130A" w:rsidRDefault="008D5AF9" w:rsidP="008D5AF9">
            <w:pPr>
              <w:pStyle w:val="Ingenafstand"/>
              <w:rPr>
                <w:sz w:val="24"/>
                <w:szCs w:val="24"/>
              </w:rPr>
            </w:pPr>
          </w:p>
        </w:tc>
      </w:tr>
    </w:tbl>
    <w:p w:rsidR="008D5AF9" w:rsidRPr="00862465" w:rsidRDefault="008D5AF9" w:rsidP="008D5AF9">
      <w:pPr>
        <w:rPr>
          <w:rFonts w:cstheme="minorHAnsi"/>
        </w:rPr>
      </w:pPr>
      <w:r w:rsidRPr="00862465">
        <w:rPr>
          <w:rFonts w:cstheme="minorHAnsi"/>
        </w:rPr>
        <w:t>¹Særligt ved salpingit efter abort eller spiraloplægning. Ved svære symptomer indlægges patienten</w:t>
      </w:r>
      <w:r>
        <w:rPr>
          <w:rFonts w:cstheme="minorHAnsi"/>
        </w:rPr>
        <w:t xml:space="preserve">                             ²</w:t>
      </w:r>
      <w:r w:rsidRPr="00862465">
        <w:t xml:space="preserve">Ved påvisning af rektal klamydia skal man sikre sig, at den pågældende mikrobiologiske afdeling sender prøven videre til lymfogranuloma venereum (LGV) typebestemmelse på SSI. </w:t>
      </w:r>
      <w:r>
        <w:t>B</w:t>
      </w:r>
      <w:r w:rsidRPr="00862465">
        <w:t>ehandlingsvarighed</w:t>
      </w:r>
      <w:r>
        <w:t xml:space="preserve"> er 21 dage ved LGV </w:t>
      </w:r>
      <w:r>
        <w:rPr>
          <w:noProof/>
        </w:rPr>
        <w:t>(13)</w:t>
      </w:r>
      <w:r>
        <w:t>.</w:t>
      </w:r>
    </w:p>
    <w:p w:rsidR="008D5AF9" w:rsidRDefault="008D5AF9" w:rsidP="008D5AF9">
      <w:pPr>
        <w:rPr>
          <w:b/>
          <w:bCs/>
          <w:sz w:val="24"/>
          <w:szCs w:val="24"/>
        </w:rPr>
      </w:pPr>
    </w:p>
    <w:p w:rsidR="008D5AF9" w:rsidRPr="007D2717" w:rsidRDefault="008D5AF9" w:rsidP="008D5AF9">
      <w:pPr>
        <w:rPr>
          <w:b/>
          <w:bCs/>
          <w:sz w:val="24"/>
          <w:szCs w:val="24"/>
        </w:rPr>
      </w:pPr>
      <w:r w:rsidRPr="007D2717">
        <w:rPr>
          <w:b/>
          <w:bCs/>
          <w:sz w:val="24"/>
          <w:szCs w:val="24"/>
        </w:rPr>
        <w:t>Smitteopsporing</w:t>
      </w:r>
    </w:p>
    <w:p w:rsidR="008D5AF9" w:rsidRDefault="008D5AF9" w:rsidP="008D5AF9">
      <w:pPr>
        <w:rPr>
          <w:sz w:val="24"/>
          <w:szCs w:val="24"/>
        </w:rPr>
      </w:pPr>
      <w:r>
        <w:rPr>
          <w:sz w:val="24"/>
          <w:szCs w:val="24"/>
        </w:rPr>
        <w:t xml:space="preserve">Se afsnit om smitteopsporing og partnerbehandling. </w:t>
      </w:r>
    </w:p>
    <w:p w:rsidR="008D5AF9" w:rsidRPr="002F6BFC" w:rsidRDefault="008D5AF9" w:rsidP="008D5AF9">
      <w:pPr>
        <w:rPr>
          <w:sz w:val="24"/>
          <w:szCs w:val="24"/>
        </w:rPr>
      </w:pPr>
    </w:p>
    <w:p w:rsidR="008D5AF9" w:rsidRPr="002F6BFC" w:rsidRDefault="008D5AF9" w:rsidP="008D5AF9">
      <w:pPr>
        <w:rPr>
          <w:b/>
          <w:bCs/>
          <w:sz w:val="24"/>
          <w:szCs w:val="24"/>
        </w:rPr>
      </w:pPr>
      <w:r w:rsidRPr="002F6BFC">
        <w:rPr>
          <w:b/>
          <w:bCs/>
          <w:sz w:val="24"/>
          <w:szCs w:val="24"/>
        </w:rPr>
        <w:t>Kontrol</w:t>
      </w:r>
    </w:p>
    <w:p w:rsidR="008D5AF9" w:rsidRPr="002F6BFC" w:rsidRDefault="008D5AF9" w:rsidP="008D5AF9">
      <w:pPr>
        <w:rPr>
          <w:sz w:val="24"/>
          <w:szCs w:val="24"/>
        </w:rPr>
      </w:pPr>
      <w:r w:rsidRPr="002F6BFC">
        <w:rPr>
          <w:sz w:val="24"/>
          <w:szCs w:val="24"/>
        </w:rPr>
        <w:t>Der anbefales ikke rutinemæssig kontrolundersøgelse for klamydia efter endt behandling. Fornyet undersøgelse for klamydia kan foretages ved relevante symptomer, ved manglende compliance eller ved mistanke om ny smitte.  Der bør gå</w:t>
      </w:r>
      <w:r>
        <w:rPr>
          <w:sz w:val="24"/>
          <w:szCs w:val="24"/>
        </w:rPr>
        <w:t xml:space="preserve"> minimum</w:t>
      </w:r>
      <w:r w:rsidRPr="002F6BFC">
        <w:rPr>
          <w:sz w:val="24"/>
          <w:szCs w:val="24"/>
        </w:rPr>
        <w:t xml:space="preserve"> 4 uger ved behov for fornyet klamydia-undersøgelse efter tidligere positiv prøve, da der ellers er risiko for falsk-positiv test.</w:t>
      </w:r>
    </w:p>
    <w:p w:rsidR="008D5AF9" w:rsidRDefault="008D5AF9" w:rsidP="008D5AF9">
      <w:pPr>
        <w:rPr>
          <w:sz w:val="24"/>
          <w:szCs w:val="24"/>
        </w:rPr>
      </w:pPr>
      <w:r w:rsidRPr="002F6BFC">
        <w:rPr>
          <w:sz w:val="24"/>
          <w:szCs w:val="24"/>
        </w:rPr>
        <w:t xml:space="preserve">Der anbefales seksuel afholdenhed i 7 dage efter endt behandling </w:t>
      </w:r>
      <w:r>
        <w:rPr>
          <w:noProof/>
          <w:sz w:val="24"/>
          <w:szCs w:val="24"/>
        </w:rPr>
        <w:t>(8)</w:t>
      </w:r>
    </w:p>
    <w:p w:rsidR="008D5AF9" w:rsidRPr="00DE7D15" w:rsidRDefault="008D5AF9" w:rsidP="008D5AF9">
      <w:pPr>
        <w:rPr>
          <w:sz w:val="24"/>
          <w:szCs w:val="24"/>
        </w:rPr>
      </w:pPr>
    </w:p>
    <w:p w:rsidR="008D5AF9" w:rsidRPr="00DE7D15" w:rsidRDefault="008D5AF9" w:rsidP="008D5AF9">
      <w:pPr>
        <w:pStyle w:val="Ingenafstand"/>
        <w:rPr>
          <w:sz w:val="24"/>
          <w:szCs w:val="24"/>
        </w:rPr>
      </w:pPr>
    </w:p>
    <w:p w:rsidR="008D5AF9" w:rsidRPr="005B1D59" w:rsidRDefault="008D5AF9" w:rsidP="008D5AF9">
      <w:pPr>
        <w:pStyle w:val="Overskrift3"/>
        <w:rPr>
          <w:rFonts w:asciiTheme="minorHAnsi" w:hAnsiTheme="minorHAnsi" w:cstheme="minorHAnsi"/>
          <w:sz w:val="28"/>
          <w:szCs w:val="28"/>
        </w:rPr>
      </w:pPr>
      <w:bookmarkStart w:id="5" w:name="_Toc86222540"/>
      <w:r w:rsidRPr="005B1D59">
        <w:rPr>
          <w:rFonts w:asciiTheme="minorHAnsi" w:hAnsiTheme="minorHAnsi" w:cstheme="minorHAnsi"/>
          <w:sz w:val="28"/>
          <w:szCs w:val="28"/>
        </w:rPr>
        <w:lastRenderedPageBreak/>
        <w:t>Mycoplasma genitalium</w:t>
      </w:r>
      <w:bookmarkEnd w:id="5"/>
    </w:p>
    <w:p w:rsidR="008D5AF9" w:rsidRPr="005B1D59" w:rsidRDefault="008D5AF9" w:rsidP="008D5AF9">
      <w:pPr>
        <w:pStyle w:val="Ingenafstand"/>
        <w:rPr>
          <w:rFonts w:cstheme="minorHAnsi"/>
          <w:i/>
          <w:iCs/>
          <w:sz w:val="28"/>
          <w:szCs w:val="28"/>
        </w:rPr>
      </w:pPr>
      <w:r w:rsidRPr="005B1D59">
        <w:rPr>
          <w:rFonts w:cstheme="minorHAnsi"/>
          <w:sz w:val="28"/>
          <w:szCs w:val="28"/>
        </w:rPr>
        <w:tab/>
      </w:r>
    </w:p>
    <w:p w:rsidR="008D5AF9" w:rsidRPr="002F6BFC" w:rsidRDefault="008D5AF9" w:rsidP="008D5AF9">
      <w:pPr>
        <w:pStyle w:val="Ingenafstand"/>
        <w:ind w:firstLine="1304"/>
        <w:rPr>
          <w:i/>
          <w:iCs/>
          <w:sz w:val="24"/>
          <w:szCs w:val="24"/>
        </w:rPr>
      </w:pPr>
    </w:p>
    <w:p w:rsidR="008D5AF9" w:rsidRDefault="008D5AF9" w:rsidP="008D5AF9">
      <w:pPr>
        <w:pStyle w:val="Ingenafstand"/>
        <w:rPr>
          <w:b/>
          <w:bCs/>
          <w:sz w:val="24"/>
          <w:szCs w:val="24"/>
        </w:rPr>
      </w:pPr>
      <w:r w:rsidRPr="00D47A7F">
        <w:rPr>
          <w:b/>
          <w:bCs/>
          <w:sz w:val="24"/>
          <w:szCs w:val="24"/>
        </w:rPr>
        <w:t>Baggrund og epidemiologi</w:t>
      </w:r>
    </w:p>
    <w:p w:rsidR="008D5AF9" w:rsidRPr="002F6BFC" w:rsidRDefault="008D5AF9" w:rsidP="008D5AF9">
      <w:pPr>
        <w:pStyle w:val="Ingenafstand"/>
      </w:pPr>
    </w:p>
    <w:p w:rsidR="008D5AF9" w:rsidRPr="00460508" w:rsidRDefault="008D5AF9" w:rsidP="008D5AF9">
      <w:pPr>
        <w:rPr>
          <w:sz w:val="24"/>
          <w:szCs w:val="24"/>
        </w:rPr>
      </w:pPr>
      <w:r w:rsidRPr="00460508">
        <w:rPr>
          <w:i/>
          <w:iCs/>
          <w:sz w:val="24"/>
          <w:szCs w:val="24"/>
        </w:rPr>
        <w:t>Mycoplasma genitalium</w:t>
      </w:r>
      <w:r w:rsidRPr="00460508">
        <w:rPr>
          <w:sz w:val="24"/>
          <w:szCs w:val="24"/>
        </w:rPr>
        <w:t xml:space="preserve"> er en bakterie, som overføres seksuelt ved slimhindekontakt. Næst efter klamydia er </w:t>
      </w:r>
      <w:r w:rsidRPr="00460508">
        <w:rPr>
          <w:i/>
          <w:iCs/>
          <w:sz w:val="24"/>
          <w:szCs w:val="24"/>
        </w:rPr>
        <w:t>M. genitalium</w:t>
      </w:r>
      <w:r w:rsidRPr="00460508">
        <w:rPr>
          <w:sz w:val="24"/>
          <w:szCs w:val="24"/>
        </w:rPr>
        <w:t xml:space="preserve"> den hyppigste </w:t>
      </w:r>
      <w:r>
        <w:rPr>
          <w:sz w:val="24"/>
          <w:szCs w:val="24"/>
        </w:rPr>
        <w:t>bakterielle SOI i Danmark</w:t>
      </w:r>
      <w:r w:rsidRPr="00460508">
        <w:rPr>
          <w:sz w:val="24"/>
          <w:szCs w:val="24"/>
        </w:rPr>
        <w:t xml:space="preserve">, og </w:t>
      </w:r>
      <w:r w:rsidRPr="00460508">
        <w:rPr>
          <w:i/>
          <w:iCs/>
          <w:sz w:val="24"/>
          <w:szCs w:val="24"/>
        </w:rPr>
        <w:t>M. genitalium</w:t>
      </w:r>
      <w:r w:rsidRPr="00460508">
        <w:rPr>
          <w:sz w:val="24"/>
          <w:szCs w:val="24"/>
        </w:rPr>
        <w:t xml:space="preserve"> infektion udgør 10-35 % af non-klamydi</w:t>
      </w:r>
      <w:r>
        <w:rPr>
          <w:sz w:val="24"/>
          <w:szCs w:val="24"/>
        </w:rPr>
        <w:t>a</w:t>
      </w:r>
      <w:r w:rsidRPr="00460508">
        <w:rPr>
          <w:sz w:val="24"/>
          <w:szCs w:val="24"/>
        </w:rPr>
        <w:t>l non-</w:t>
      </w:r>
      <w:r w:rsidR="00682D70">
        <w:rPr>
          <w:sz w:val="24"/>
          <w:szCs w:val="24"/>
        </w:rPr>
        <w:t>gonorroisk</w:t>
      </w:r>
      <w:r w:rsidRPr="00460508">
        <w:rPr>
          <w:sz w:val="24"/>
          <w:szCs w:val="24"/>
        </w:rPr>
        <w:t xml:space="preserve"> uretrit blandt mænd. </w:t>
      </w:r>
    </w:p>
    <w:p w:rsidR="008D5AF9" w:rsidRDefault="008D5AF9" w:rsidP="008D5AF9">
      <w:pPr>
        <w:pStyle w:val="Ingenafstand"/>
        <w:rPr>
          <w:b/>
          <w:bCs/>
          <w:sz w:val="24"/>
          <w:szCs w:val="24"/>
        </w:rPr>
      </w:pPr>
      <w:r w:rsidRPr="00D47A7F">
        <w:rPr>
          <w:b/>
          <w:bCs/>
          <w:sz w:val="24"/>
          <w:szCs w:val="24"/>
        </w:rPr>
        <w:t>Symptomer</w:t>
      </w:r>
    </w:p>
    <w:p w:rsidR="008D5AF9" w:rsidRPr="00460508" w:rsidRDefault="008D5AF9" w:rsidP="008D5AF9">
      <w:pPr>
        <w:pStyle w:val="Ingenafstand"/>
        <w:rPr>
          <w:sz w:val="24"/>
          <w:szCs w:val="24"/>
        </w:rPr>
      </w:pPr>
    </w:p>
    <w:p w:rsidR="008D5AF9" w:rsidRDefault="008D5AF9" w:rsidP="008D5AF9">
      <w:pPr>
        <w:rPr>
          <w:sz w:val="24"/>
          <w:szCs w:val="24"/>
        </w:rPr>
      </w:pPr>
      <w:r w:rsidRPr="00460508">
        <w:rPr>
          <w:sz w:val="24"/>
          <w:szCs w:val="24"/>
        </w:rPr>
        <w:t xml:space="preserve">Udflåd og svie ved vandladning er hyppige symptomer, dog vil omkring halvdelen af smittede ikke have symptomer. Hos kvinder er </w:t>
      </w:r>
      <w:r w:rsidRPr="00460508">
        <w:rPr>
          <w:i/>
          <w:iCs/>
          <w:sz w:val="24"/>
          <w:szCs w:val="24"/>
        </w:rPr>
        <w:t>M. genitalium</w:t>
      </w:r>
      <w:r w:rsidRPr="00460508">
        <w:rPr>
          <w:sz w:val="24"/>
          <w:szCs w:val="24"/>
        </w:rPr>
        <w:t xml:space="preserve"> infektion også associeret med cervicit, endometrit og underlivsbetændelse</w:t>
      </w:r>
      <w:r w:rsidRPr="00460508">
        <w:rPr>
          <w:i/>
          <w:iCs/>
          <w:sz w:val="24"/>
          <w:szCs w:val="24"/>
        </w:rPr>
        <w:t>. M. genitalium</w:t>
      </w:r>
      <w:r w:rsidRPr="00460508">
        <w:rPr>
          <w:sz w:val="24"/>
          <w:szCs w:val="24"/>
        </w:rPr>
        <w:t xml:space="preserve"> infektioner i svælg og rektum er ofte asymptomatiske </w:t>
      </w:r>
      <w:r>
        <w:rPr>
          <w:noProof/>
          <w:sz w:val="24"/>
          <w:szCs w:val="24"/>
        </w:rPr>
        <w:t>(14-20)</w:t>
      </w:r>
      <w:r w:rsidRPr="00460508">
        <w:rPr>
          <w:sz w:val="24"/>
          <w:szCs w:val="24"/>
        </w:rPr>
        <w:t>.</w:t>
      </w:r>
    </w:p>
    <w:p w:rsidR="008D5AF9" w:rsidRPr="00B36CCB" w:rsidRDefault="008D5AF9" w:rsidP="008D5AF9">
      <w:pPr>
        <w:rPr>
          <w:b/>
          <w:bCs/>
          <w:sz w:val="24"/>
          <w:szCs w:val="24"/>
        </w:rPr>
      </w:pPr>
      <w:r w:rsidRPr="00B36CCB">
        <w:rPr>
          <w:b/>
          <w:bCs/>
          <w:sz w:val="24"/>
          <w:szCs w:val="24"/>
        </w:rPr>
        <w:t>Komplikationer</w:t>
      </w:r>
    </w:p>
    <w:p w:rsidR="008D5AF9" w:rsidRPr="00B36CCB" w:rsidRDefault="008D5AF9" w:rsidP="008D5AF9">
      <w:pPr>
        <w:rPr>
          <w:sz w:val="24"/>
          <w:szCs w:val="24"/>
        </w:rPr>
      </w:pPr>
      <w:r>
        <w:rPr>
          <w:sz w:val="24"/>
          <w:szCs w:val="24"/>
        </w:rPr>
        <w:t>Enkelte</w:t>
      </w:r>
      <w:r w:rsidRPr="00B36CCB">
        <w:rPr>
          <w:sz w:val="24"/>
          <w:szCs w:val="24"/>
        </w:rPr>
        <w:t xml:space="preserve"> studier har vist en association med infertilitet</w:t>
      </w:r>
      <w:r>
        <w:rPr>
          <w:sz w:val="24"/>
          <w:szCs w:val="24"/>
        </w:rPr>
        <w:t xml:space="preserve"> </w:t>
      </w:r>
      <w:r>
        <w:rPr>
          <w:noProof/>
          <w:sz w:val="24"/>
          <w:szCs w:val="24"/>
        </w:rPr>
        <w:t>(20)</w:t>
      </w:r>
      <w:r>
        <w:rPr>
          <w:sz w:val="24"/>
          <w:szCs w:val="24"/>
        </w:rPr>
        <w:t>.</w:t>
      </w:r>
      <w:r w:rsidRPr="00B36CCB">
        <w:rPr>
          <w:sz w:val="24"/>
          <w:szCs w:val="24"/>
        </w:rPr>
        <w:t xml:space="preserve"> Hos mænd kan epididymit ses som komplikation </w:t>
      </w:r>
      <w:r>
        <w:rPr>
          <w:noProof/>
          <w:sz w:val="24"/>
          <w:szCs w:val="24"/>
        </w:rPr>
        <w:t>(21, 22)</w:t>
      </w:r>
      <w:r w:rsidRPr="00B36CCB">
        <w:rPr>
          <w:sz w:val="24"/>
          <w:szCs w:val="24"/>
        </w:rPr>
        <w:t>.</w:t>
      </w:r>
    </w:p>
    <w:p w:rsidR="008D5AF9" w:rsidRPr="00B36CCB" w:rsidRDefault="008D5AF9" w:rsidP="008D5AF9">
      <w:pPr>
        <w:rPr>
          <w:sz w:val="24"/>
          <w:szCs w:val="24"/>
        </w:rPr>
      </w:pPr>
      <w:r w:rsidRPr="00B36CCB">
        <w:rPr>
          <w:b/>
          <w:bCs/>
          <w:sz w:val="24"/>
          <w:szCs w:val="24"/>
        </w:rPr>
        <w:t>Diagnostik</w:t>
      </w:r>
    </w:p>
    <w:p w:rsidR="008D5AF9" w:rsidRDefault="008D5AF9" w:rsidP="008D5AF9">
      <w:pPr>
        <w:rPr>
          <w:sz w:val="24"/>
          <w:szCs w:val="24"/>
        </w:rPr>
      </w:pPr>
      <w:r>
        <w:rPr>
          <w:sz w:val="24"/>
          <w:szCs w:val="24"/>
        </w:rPr>
        <w:t>Mikroskopi: som beskrevet for NGU og non-</w:t>
      </w:r>
      <w:r w:rsidR="00682D70">
        <w:rPr>
          <w:sz w:val="24"/>
          <w:szCs w:val="24"/>
        </w:rPr>
        <w:t>gonorroisk</w:t>
      </w:r>
      <w:r>
        <w:rPr>
          <w:sz w:val="24"/>
          <w:szCs w:val="24"/>
        </w:rPr>
        <w:t xml:space="preserve"> cervicit under afsnittet ”Klamydia” diagnostik.</w:t>
      </w:r>
    </w:p>
    <w:p w:rsidR="008D5AF9" w:rsidRDefault="008D5AF9" w:rsidP="008D5AF9">
      <w:pPr>
        <w:rPr>
          <w:sz w:val="24"/>
          <w:szCs w:val="24"/>
        </w:rPr>
      </w:pPr>
      <w:r>
        <w:rPr>
          <w:sz w:val="24"/>
          <w:szCs w:val="24"/>
        </w:rPr>
        <w:t>Podning eller urin for NAT:</w:t>
      </w:r>
    </w:p>
    <w:p w:rsidR="008D5AF9" w:rsidRPr="00B36CCB" w:rsidRDefault="008D5AF9" w:rsidP="008D5AF9">
      <w:pPr>
        <w:rPr>
          <w:sz w:val="24"/>
          <w:szCs w:val="24"/>
        </w:rPr>
      </w:pPr>
      <w:r w:rsidRPr="00B36CCB">
        <w:rPr>
          <w:sz w:val="24"/>
          <w:szCs w:val="24"/>
        </w:rPr>
        <w:t xml:space="preserve">Undersøgelse for </w:t>
      </w:r>
      <w:r w:rsidRPr="00B36CCB">
        <w:rPr>
          <w:i/>
          <w:iCs/>
          <w:sz w:val="24"/>
          <w:szCs w:val="24"/>
        </w:rPr>
        <w:t>M. genitalium</w:t>
      </w:r>
      <w:r w:rsidRPr="00B36CCB">
        <w:rPr>
          <w:sz w:val="24"/>
          <w:szCs w:val="24"/>
        </w:rPr>
        <w:t xml:space="preserve"> er kun indiceret ved symptomer</w:t>
      </w:r>
      <w:r>
        <w:rPr>
          <w:sz w:val="24"/>
          <w:szCs w:val="24"/>
        </w:rPr>
        <w:t xml:space="preserve">, ideelt set når patienten ses første gang, alternativt ved negativt undersøgelsesresultat for </w:t>
      </w:r>
      <w:r>
        <w:rPr>
          <w:i/>
          <w:iCs/>
          <w:sz w:val="24"/>
          <w:szCs w:val="24"/>
        </w:rPr>
        <w:t xml:space="preserve">C. trachomatis </w:t>
      </w:r>
      <w:r>
        <w:rPr>
          <w:sz w:val="24"/>
          <w:szCs w:val="24"/>
        </w:rPr>
        <w:t xml:space="preserve">eller </w:t>
      </w:r>
      <w:r>
        <w:rPr>
          <w:i/>
          <w:iCs/>
          <w:sz w:val="24"/>
          <w:szCs w:val="24"/>
        </w:rPr>
        <w:t>N. gonorroeae,</w:t>
      </w:r>
      <w:r w:rsidRPr="00B36CCB">
        <w:rPr>
          <w:sz w:val="24"/>
          <w:szCs w:val="24"/>
        </w:rPr>
        <w:t xml:space="preserve"> eller som led i partneropsporing. Indikationen er blevet indsnævret pga. en stigende forekomst af behandlingsresistent </w:t>
      </w:r>
      <w:r w:rsidRPr="00B36CCB">
        <w:rPr>
          <w:i/>
          <w:iCs/>
          <w:sz w:val="24"/>
          <w:szCs w:val="24"/>
        </w:rPr>
        <w:t>M. genitalium</w:t>
      </w:r>
      <w:r w:rsidRPr="00B36CCB">
        <w:rPr>
          <w:sz w:val="24"/>
          <w:szCs w:val="24"/>
        </w:rPr>
        <w:t xml:space="preserve"> og advarsler om sjældne, men alvorlige bivirkninger ved brug af moxifloxacin (EMA anbefaler, at brug af moxifloxacin begrænses til situationer, hvor andre antibiotika ikke kan anvendes). </w:t>
      </w:r>
      <w:r w:rsidRPr="00B36CCB">
        <w:rPr>
          <w:i/>
          <w:iCs/>
          <w:sz w:val="24"/>
          <w:szCs w:val="24"/>
        </w:rPr>
        <w:t>M. genitalium</w:t>
      </w:r>
      <w:r w:rsidRPr="00B36CCB">
        <w:rPr>
          <w:sz w:val="24"/>
          <w:szCs w:val="24"/>
        </w:rPr>
        <w:t xml:space="preserve"> kan påvises ved NAT</w:t>
      </w:r>
      <w:r>
        <w:rPr>
          <w:sz w:val="24"/>
          <w:szCs w:val="24"/>
        </w:rPr>
        <w:t xml:space="preserve"> </w:t>
      </w:r>
      <w:r w:rsidRPr="00B36CCB">
        <w:rPr>
          <w:sz w:val="24"/>
          <w:szCs w:val="24"/>
        </w:rPr>
        <w:t xml:space="preserve">og skal altid efterfølges af undersøgelse for resistensmutationer. Podning kan tages fra uretra, cervix og vagina. Desuden kan </w:t>
      </w:r>
      <w:r w:rsidRPr="00B36CCB">
        <w:rPr>
          <w:i/>
          <w:iCs/>
          <w:sz w:val="24"/>
          <w:szCs w:val="24"/>
        </w:rPr>
        <w:t>M. genitalium</w:t>
      </w:r>
      <w:r w:rsidRPr="00B36CCB">
        <w:rPr>
          <w:sz w:val="24"/>
          <w:szCs w:val="24"/>
        </w:rPr>
        <w:t xml:space="preserve"> påvises i de første 10 ml af en urinprøve, som skal opsamles uden afvaskning. Hos kvinder bør urinprøven suppleres </w:t>
      </w:r>
      <w:r>
        <w:rPr>
          <w:sz w:val="24"/>
          <w:szCs w:val="24"/>
        </w:rPr>
        <w:t>med</w:t>
      </w:r>
      <w:r w:rsidRPr="00B36CCB">
        <w:rPr>
          <w:sz w:val="24"/>
          <w:szCs w:val="24"/>
        </w:rPr>
        <w:t xml:space="preserve"> en podning fra cervix eller vagina. Der foreligger ikke fyldestgørende data, men analogt til </w:t>
      </w:r>
      <w:r w:rsidRPr="00B36CCB">
        <w:rPr>
          <w:i/>
          <w:iCs/>
          <w:sz w:val="24"/>
          <w:szCs w:val="24"/>
        </w:rPr>
        <w:t>C. trachomatis</w:t>
      </w:r>
      <w:r w:rsidRPr="00B36CCB">
        <w:rPr>
          <w:sz w:val="24"/>
          <w:szCs w:val="24"/>
        </w:rPr>
        <w:t xml:space="preserve"> vurderes inkubationsperioden at være minimum to uger</w:t>
      </w:r>
      <w:r>
        <w:rPr>
          <w:sz w:val="24"/>
          <w:szCs w:val="24"/>
        </w:rPr>
        <w:t xml:space="preserve"> </w:t>
      </w:r>
      <w:r>
        <w:rPr>
          <w:noProof/>
          <w:sz w:val="24"/>
          <w:szCs w:val="24"/>
        </w:rPr>
        <w:t>(14)</w:t>
      </w:r>
      <w:r>
        <w:rPr>
          <w:sz w:val="24"/>
          <w:szCs w:val="24"/>
        </w:rPr>
        <w:t>.</w:t>
      </w:r>
    </w:p>
    <w:p w:rsidR="008D5AF9" w:rsidRPr="00B36CCB" w:rsidRDefault="008D5AF9" w:rsidP="008D5AF9">
      <w:pPr>
        <w:rPr>
          <w:sz w:val="24"/>
          <w:szCs w:val="24"/>
        </w:rPr>
      </w:pPr>
      <w:r w:rsidRPr="008101D8">
        <w:rPr>
          <w:b/>
          <w:bCs/>
          <w:sz w:val="24"/>
          <w:szCs w:val="24"/>
        </w:rPr>
        <w:t>Behandling</w:t>
      </w:r>
    </w:p>
    <w:p w:rsidR="008D5AF9" w:rsidRPr="00B36CCB" w:rsidRDefault="008D5AF9" w:rsidP="008D5AF9">
      <w:pPr>
        <w:rPr>
          <w:sz w:val="24"/>
          <w:szCs w:val="24"/>
        </w:rPr>
      </w:pPr>
      <w:r w:rsidRPr="00B36CCB">
        <w:rPr>
          <w:sz w:val="24"/>
          <w:szCs w:val="24"/>
        </w:rPr>
        <w:t xml:space="preserve">Behandling af </w:t>
      </w:r>
      <w:r w:rsidRPr="00B36CCB">
        <w:rPr>
          <w:i/>
          <w:iCs/>
          <w:sz w:val="24"/>
          <w:szCs w:val="24"/>
        </w:rPr>
        <w:t>M. genitalium</w:t>
      </w:r>
      <w:r w:rsidRPr="00B36CCB">
        <w:rPr>
          <w:sz w:val="24"/>
          <w:szCs w:val="24"/>
        </w:rPr>
        <w:t xml:space="preserve"> kompliceres af en høj forekomst af resistens mod makrolider</w:t>
      </w:r>
      <w:r>
        <w:rPr>
          <w:sz w:val="24"/>
          <w:szCs w:val="24"/>
        </w:rPr>
        <w:t xml:space="preserve"> </w:t>
      </w:r>
      <w:r>
        <w:rPr>
          <w:noProof/>
          <w:sz w:val="24"/>
          <w:szCs w:val="24"/>
        </w:rPr>
        <w:t>(23-25)</w:t>
      </w:r>
      <w:r w:rsidRPr="00B36CCB">
        <w:rPr>
          <w:sz w:val="24"/>
          <w:szCs w:val="24"/>
        </w:rPr>
        <w:t xml:space="preserve"> samt i visse tilfælde samtidig resistens mod quinoloner, og der er set enkelte tilfælde, hvor der er </w:t>
      </w:r>
      <w:r w:rsidRPr="00B36CCB">
        <w:rPr>
          <w:sz w:val="24"/>
          <w:szCs w:val="24"/>
        </w:rPr>
        <w:lastRenderedPageBreak/>
        <w:t xml:space="preserve">udviklet resistens mod alle de tilgængelige typer antibiotika. Ved mistanke om quinolonresistens (fortsat tilstedeværelse af </w:t>
      </w:r>
      <w:r w:rsidRPr="00B36CCB">
        <w:rPr>
          <w:i/>
          <w:iCs/>
          <w:sz w:val="24"/>
          <w:szCs w:val="24"/>
        </w:rPr>
        <w:t>M. genitalium</w:t>
      </w:r>
      <w:r w:rsidRPr="00B36CCB">
        <w:rPr>
          <w:sz w:val="24"/>
          <w:szCs w:val="24"/>
        </w:rPr>
        <w:t xml:space="preserve"> fire uger efter moxifloxacinbehandling, og hvor resmitte kan udelukkes), bør der foretages NAT undersøgelse for </w:t>
      </w:r>
      <w:r w:rsidRPr="00B36CCB">
        <w:rPr>
          <w:i/>
          <w:iCs/>
          <w:sz w:val="24"/>
          <w:szCs w:val="24"/>
        </w:rPr>
        <w:t>M. genitalium</w:t>
      </w:r>
      <w:r w:rsidRPr="00B36CCB">
        <w:rPr>
          <w:sz w:val="24"/>
          <w:szCs w:val="24"/>
        </w:rPr>
        <w:t xml:space="preserve"> til quinolonresistensundersøgelse på SSI, </w:t>
      </w:r>
      <w:r>
        <w:rPr>
          <w:sz w:val="24"/>
          <w:szCs w:val="24"/>
        </w:rPr>
        <w:t>med a</w:t>
      </w:r>
      <w:r w:rsidR="00D156A3">
        <w:rPr>
          <w:sz w:val="24"/>
          <w:szCs w:val="24"/>
        </w:rPr>
        <w:t>d</w:t>
      </w:r>
      <w:r>
        <w:rPr>
          <w:sz w:val="24"/>
          <w:szCs w:val="24"/>
        </w:rPr>
        <w:t xml:space="preserve">visering af </w:t>
      </w:r>
      <w:r w:rsidRPr="00B36CCB">
        <w:rPr>
          <w:sz w:val="24"/>
          <w:szCs w:val="24"/>
        </w:rPr>
        <w:t xml:space="preserve">overlæge Jørgen Skov Jensen </w:t>
      </w:r>
      <w:r>
        <w:rPr>
          <w:sz w:val="24"/>
          <w:szCs w:val="24"/>
        </w:rPr>
        <w:t>på mail:</w:t>
      </w:r>
      <w:r w:rsidRPr="00B36CCB">
        <w:rPr>
          <w:sz w:val="24"/>
          <w:szCs w:val="24"/>
        </w:rPr>
        <w:t xml:space="preserve"> jsj@ssi.dk.</w:t>
      </w:r>
    </w:p>
    <w:p w:rsidR="008D5AF9" w:rsidRDefault="008D5AF9" w:rsidP="008D5AF9">
      <w:pPr>
        <w:rPr>
          <w:sz w:val="24"/>
          <w:szCs w:val="24"/>
        </w:rPr>
      </w:pPr>
      <w:r w:rsidRPr="00B36CCB">
        <w:rPr>
          <w:sz w:val="24"/>
          <w:szCs w:val="24"/>
        </w:rPr>
        <w:t xml:space="preserve">Pristinamycin bruges som 3. linje behandling og kræver </w:t>
      </w:r>
      <w:r>
        <w:rPr>
          <w:sz w:val="24"/>
          <w:szCs w:val="24"/>
        </w:rPr>
        <w:t xml:space="preserve">en </w:t>
      </w:r>
      <w:r w:rsidRPr="00B36CCB">
        <w:rPr>
          <w:sz w:val="24"/>
          <w:szCs w:val="24"/>
        </w:rPr>
        <w:t>generel udleveringstilladelse (ansøges på afdelingsniveau). Er der recidiv efter behandling med pristinamycin, kan</w:t>
      </w:r>
      <w:r>
        <w:rPr>
          <w:sz w:val="24"/>
          <w:szCs w:val="24"/>
        </w:rPr>
        <w:t xml:space="preserve"> der</w:t>
      </w:r>
      <w:r w:rsidRPr="00B36CCB">
        <w:rPr>
          <w:sz w:val="24"/>
          <w:szCs w:val="24"/>
        </w:rPr>
        <w:t xml:space="preserve"> forsøges behandling med minocyclin</w:t>
      </w:r>
      <w:r>
        <w:rPr>
          <w:sz w:val="24"/>
          <w:szCs w:val="24"/>
        </w:rPr>
        <w:t xml:space="preserve"> (se tabel 4)</w:t>
      </w:r>
      <w:r w:rsidRPr="00B36CCB">
        <w:rPr>
          <w:sz w:val="24"/>
          <w:szCs w:val="24"/>
        </w:rPr>
        <w:t>.</w:t>
      </w:r>
    </w:p>
    <w:p w:rsidR="008D5AF9" w:rsidRPr="00B36CCB" w:rsidRDefault="008D5AF9" w:rsidP="008D5AF9">
      <w:pPr>
        <w:rPr>
          <w:sz w:val="24"/>
          <w:szCs w:val="24"/>
        </w:rPr>
      </w:pPr>
    </w:p>
    <w:p w:rsidR="008D5AF9" w:rsidRDefault="008D5AF9" w:rsidP="008D5AF9">
      <w:pPr>
        <w:pStyle w:val="Ingenafstand"/>
        <w:rPr>
          <w:sz w:val="24"/>
          <w:szCs w:val="24"/>
        </w:rPr>
      </w:pPr>
    </w:p>
    <w:tbl>
      <w:tblPr>
        <w:tblStyle w:val="Tabel-Gitter"/>
        <w:tblW w:w="10450" w:type="dxa"/>
        <w:tblLook w:val="04A0" w:firstRow="1" w:lastRow="0" w:firstColumn="1" w:lastColumn="0" w:noHBand="0" w:noVBand="1"/>
      </w:tblPr>
      <w:tblGrid>
        <w:gridCol w:w="3483"/>
        <w:gridCol w:w="3483"/>
        <w:gridCol w:w="3484"/>
      </w:tblGrid>
      <w:tr w:rsidR="008D5AF9" w:rsidTr="008D5AF9">
        <w:trPr>
          <w:trHeight w:val="278"/>
        </w:trPr>
        <w:tc>
          <w:tcPr>
            <w:tcW w:w="10450" w:type="dxa"/>
            <w:gridSpan w:val="3"/>
            <w:shd w:val="clear" w:color="auto" w:fill="auto"/>
          </w:tcPr>
          <w:p w:rsidR="008D5AF9" w:rsidRDefault="008D5AF9" w:rsidP="008D5AF9">
            <w:pPr>
              <w:pStyle w:val="Ingenafstand"/>
              <w:rPr>
                <w:sz w:val="24"/>
                <w:szCs w:val="24"/>
              </w:rPr>
            </w:pPr>
            <w:bookmarkStart w:id="6" w:name="_Hlk79744385"/>
            <w:r w:rsidRPr="00C422FC">
              <w:rPr>
                <w:b/>
                <w:bCs/>
                <w:sz w:val="24"/>
                <w:szCs w:val="24"/>
              </w:rPr>
              <w:t xml:space="preserve">Tabel </w:t>
            </w:r>
            <w:r>
              <w:rPr>
                <w:b/>
                <w:bCs/>
                <w:sz w:val="24"/>
                <w:szCs w:val="24"/>
              </w:rPr>
              <w:t xml:space="preserve">4    </w:t>
            </w:r>
            <w:r>
              <w:rPr>
                <w:sz w:val="24"/>
                <w:szCs w:val="24"/>
              </w:rPr>
              <w:t xml:space="preserve"> Behandling af Mycoplasma genitalium, rekommenderet af IUSTI </w:t>
            </w:r>
            <w:r>
              <w:rPr>
                <w:noProof/>
                <w:sz w:val="24"/>
                <w:szCs w:val="24"/>
              </w:rPr>
              <w:t>(14)</w:t>
            </w:r>
            <w:r>
              <w:rPr>
                <w:sz w:val="24"/>
                <w:szCs w:val="24"/>
              </w:rPr>
              <w:t xml:space="preserve"> </w:t>
            </w:r>
          </w:p>
          <w:p w:rsidR="008D5AF9" w:rsidRDefault="008D5AF9" w:rsidP="008D5AF9">
            <w:pPr>
              <w:pStyle w:val="Ingenafstand"/>
              <w:rPr>
                <w:sz w:val="24"/>
                <w:szCs w:val="24"/>
              </w:rPr>
            </w:pPr>
          </w:p>
        </w:tc>
      </w:tr>
      <w:tr w:rsidR="008D5AF9" w:rsidTr="008D5AF9">
        <w:trPr>
          <w:trHeight w:val="278"/>
        </w:trPr>
        <w:tc>
          <w:tcPr>
            <w:tcW w:w="3483" w:type="dxa"/>
            <w:tcBorders>
              <w:bottom w:val="single" w:sz="4" w:space="0" w:color="auto"/>
            </w:tcBorders>
          </w:tcPr>
          <w:p w:rsidR="008D5AF9" w:rsidRDefault="008D5AF9" w:rsidP="008D5AF9">
            <w:pPr>
              <w:pStyle w:val="Ingenafstand"/>
              <w:rPr>
                <w:sz w:val="24"/>
                <w:szCs w:val="24"/>
              </w:rPr>
            </w:pPr>
          </w:p>
        </w:tc>
        <w:tc>
          <w:tcPr>
            <w:tcW w:w="3483" w:type="dxa"/>
            <w:tcBorders>
              <w:bottom w:val="single" w:sz="4" w:space="0" w:color="auto"/>
            </w:tcBorders>
          </w:tcPr>
          <w:p w:rsidR="008D5AF9" w:rsidRDefault="008D5AF9" w:rsidP="008D5AF9">
            <w:pPr>
              <w:pStyle w:val="Ingenafstand"/>
              <w:rPr>
                <w:sz w:val="24"/>
                <w:szCs w:val="24"/>
              </w:rPr>
            </w:pPr>
            <w:r>
              <w:rPr>
                <w:sz w:val="24"/>
                <w:szCs w:val="24"/>
              </w:rPr>
              <w:t>Makrolidfølsom</w:t>
            </w:r>
          </w:p>
        </w:tc>
        <w:tc>
          <w:tcPr>
            <w:tcW w:w="3484" w:type="dxa"/>
            <w:tcBorders>
              <w:bottom w:val="single" w:sz="4" w:space="0" w:color="auto"/>
            </w:tcBorders>
          </w:tcPr>
          <w:p w:rsidR="008D5AF9" w:rsidRDefault="008D5AF9" w:rsidP="008D5AF9">
            <w:pPr>
              <w:pStyle w:val="Ingenafstand"/>
              <w:rPr>
                <w:sz w:val="24"/>
                <w:szCs w:val="24"/>
              </w:rPr>
            </w:pPr>
            <w:r>
              <w:rPr>
                <w:sz w:val="24"/>
                <w:szCs w:val="24"/>
              </w:rPr>
              <w:t>Makrolidresistens</w:t>
            </w:r>
          </w:p>
        </w:tc>
      </w:tr>
      <w:tr w:rsidR="008D5AF9" w:rsidTr="008D5AF9">
        <w:trPr>
          <w:trHeight w:val="572"/>
        </w:trPr>
        <w:tc>
          <w:tcPr>
            <w:tcW w:w="3483" w:type="dxa"/>
            <w:tcBorders>
              <w:top w:val="single" w:sz="4" w:space="0" w:color="auto"/>
              <w:left w:val="single" w:sz="4" w:space="0" w:color="auto"/>
              <w:bottom w:val="nil"/>
              <w:right w:val="nil"/>
            </w:tcBorders>
          </w:tcPr>
          <w:p w:rsidR="008D5AF9" w:rsidRDefault="008D5AF9" w:rsidP="008D5AF9">
            <w:pPr>
              <w:pStyle w:val="Ingenafstand"/>
              <w:rPr>
                <w:sz w:val="24"/>
                <w:szCs w:val="24"/>
              </w:rPr>
            </w:pPr>
            <w:r>
              <w:rPr>
                <w:sz w:val="24"/>
                <w:szCs w:val="24"/>
              </w:rPr>
              <w:t xml:space="preserve">Ukompliceret </w:t>
            </w:r>
            <w:r w:rsidRPr="008E06DB">
              <w:rPr>
                <w:i/>
                <w:iCs/>
                <w:sz w:val="24"/>
                <w:szCs w:val="24"/>
              </w:rPr>
              <w:t>M. genitalium</w:t>
            </w:r>
            <w:r>
              <w:rPr>
                <w:sz w:val="24"/>
                <w:szCs w:val="24"/>
              </w:rPr>
              <w:t xml:space="preserve"> infektion</w:t>
            </w:r>
          </w:p>
        </w:tc>
        <w:tc>
          <w:tcPr>
            <w:tcW w:w="3483" w:type="dxa"/>
            <w:tcBorders>
              <w:top w:val="single" w:sz="4" w:space="0" w:color="auto"/>
              <w:left w:val="nil"/>
              <w:bottom w:val="nil"/>
              <w:right w:val="nil"/>
            </w:tcBorders>
          </w:tcPr>
          <w:p w:rsidR="008D5AF9" w:rsidRPr="00562D57" w:rsidRDefault="008D5AF9" w:rsidP="008D5AF9">
            <w:pPr>
              <w:pStyle w:val="Ingenafstand"/>
              <w:rPr>
                <w:sz w:val="24"/>
                <w:szCs w:val="24"/>
              </w:rPr>
            </w:pPr>
            <w:r>
              <w:rPr>
                <w:sz w:val="24"/>
                <w:szCs w:val="24"/>
              </w:rPr>
              <w:t>Tbl. azithromycin 500 mg dag 1, herefter 250 mg dag 2-5</w:t>
            </w:r>
          </w:p>
        </w:tc>
        <w:tc>
          <w:tcPr>
            <w:tcW w:w="3484" w:type="dxa"/>
            <w:tcBorders>
              <w:top w:val="single" w:sz="4" w:space="0" w:color="auto"/>
              <w:left w:val="nil"/>
              <w:bottom w:val="nil"/>
              <w:right w:val="single" w:sz="4" w:space="0" w:color="auto"/>
            </w:tcBorders>
          </w:tcPr>
          <w:p w:rsidR="008D5AF9" w:rsidRDefault="008D5AF9" w:rsidP="008D5AF9">
            <w:pPr>
              <w:pStyle w:val="Ingenafstand"/>
              <w:rPr>
                <w:sz w:val="24"/>
                <w:szCs w:val="24"/>
              </w:rPr>
            </w:pPr>
            <w:r>
              <w:rPr>
                <w:sz w:val="24"/>
                <w:szCs w:val="24"/>
              </w:rPr>
              <w:t>Tbl. moxifloxacin 400 mg x 1 i 7 dage</w:t>
            </w:r>
          </w:p>
          <w:p w:rsidR="008D5AF9" w:rsidRDefault="008D5AF9" w:rsidP="008D5AF9">
            <w:pPr>
              <w:pStyle w:val="Ingenafstand"/>
              <w:rPr>
                <w:sz w:val="24"/>
                <w:szCs w:val="24"/>
              </w:rPr>
            </w:pPr>
          </w:p>
        </w:tc>
      </w:tr>
      <w:tr w:rsidR="008D5AF9" w:rsidTr="008D5AF9">
        <w:trPr>
          <w:trHeight w:val="572"/>
        </w:trPr>
        <w:tc>
          <w:tcPr>
            <w:tcW w:w="3483" w:type="dxa"/>
            <w:tcBorders>
              <w:top w:val="nil"/>
              <w:left w:val="single" w:sz="4" w:space="0" w:color="auto"/>
              <w:bottom w:val="nil"/>
              <w:right w:val="nil"/>
            </w:tcBorders>
          </w:tcPr>
          <w:p w:rsidR="008D5AF9" w:rsidRDefault="008D5AF9" w:rsidP="008D5AF9">
            <w:pPr>
              <w:pStyle w:val="Ingenafstand"/>
              <w:rPr>
                <w:sz w:val="24"/>
                <w:szCs w:val="24"/>
              </w:rPr>
            </w:pPr>
            <w:r>
              <w:rPr>
                <w:sz w:val="24"/>
                <w:szCs w:val="24"/>
              </w:rPr>
              <w:t xml:space="preserve">Persisterende </w:t>
            </w:r>
            <w:r w:rsidRPr="008E06DB">
              <w:rPr>
                <w:i/>
                <w:iCs/>
                <w:sz w:val="24"/>
                <w:szCs w:val="24"/>
              </w:rPr>
              <w:t>M. genitalium</w:t>
            </w:r>
            <w:r>
              <w:rPr>
                <w:sz w:val="24"/>
                <w:szCs w:val="24"/>
              </w:rPr>
              <w:t xml:space="preserve"> infektion efter azithromycin og moxifloxacin</w:t>
            </w:r>
          </w:p>
        </w:tc>
        <w:tc>
          <w:tcPr>
            <w:tcW w:w="3483" w:type="dxa"/>
            <w:tcBorders>
              <w:top w:val="nil"/>
              <w:left w:val="nil"/>
              <w:bottom w:val="nil"/>
              <w:right w:val="nil"/>
            </w:tcBorders>
          </w:tcPr>
          <w:p w:rsidR="008D5AF9" w:rsidRDefault="008D5AF9" w:rsidP="008D5AF9">
            <w:pPr>
              <w:pStyle w:val="Ingenafstand"/>
              <w:numPr>
                <w:ilvl w:val="1"/>
                <w:numId w:val="15"/>
              </w:numPr>
              <w:rPr>
                <w:sz w:val="24"/>
                <w:szCs w:val="24"/>
              </w:rPr>
            </w:pPr>
          </w:p>
        </w:tc>
        <w:tc>
          <w:tcPr>
            <w:tcW w:w="3484" w:type="dxa"/>
            <w:tcBorders>
              <w:top w:val="nil"/>
              <w:left w:val="nil"/>
              <w:bottom w:val="nil"/>
              <w:right w:val="single" w:sz="4" w:space="0" w:color="auto"/>
            </w:tcBorders>
          </w:tcPr>
          <w:p w:rsidR="008D5AF9" w:rsidRDefault="008D5AF9" w:rsidP="008D5AF9">
            <w:pPr>
              <w:pStyle w:val="Ingenafstand"/>
              <w:rPr>
                <w:sz w:val="24"/>
                <w:szCs w:val="24"/>
              </w:rPr>
            </w:pPr>
            <w:r>
              <w:rPr>
                <w:sz w:val="24"/>
                <w:szCs w:val="24"/>
              </w:rPr>
              <w:t>+ quinolonresistens:</w:t>
            </w:r>
          </w:p>
          <w:p w:rsidR="008D5AF9" w:rsidRDefault="008D5AF9" w:rsidP="008D5AF9">
            <w:pPr>
              <w:pStyle w:val="Ingenafstand"/>
              <w:rPr>
                <w:sz w:val="24"/>
                <w:szCs w:val="24"/>
              </w:rPr>
            </w:pPr>
            <w:r w:rsidRPr="008E06DB">
              <w:rPr>
                <w:sz w:val="24"/>
                <w:szCs w:val="24"/>
              </w:rPr>
              <w:t>1.</w:t>
            </w:r>
            <w:r>
              <w:rPr>
                <w:sz w:val="24"/>
                <w:szCs w:val="24"/>
              </w:rPr>
              <w:t xml:space="preserve"> tbl. pristinamycin 1 g x 4 i 10 dage (cure rate på ca. 75%)</w:t>
            </w:r>
          </w:p>
          <w:p w:rsidR="008D5AF9" w:rsidRDefault="008D5AF9" w:rsidP="008D5AF9">
            <w:pPr>
              <w:pStyle w:val="Ingenafstand"/>
              <w:rPr>
                <w:sz w:val="24"/>
                <w:szCs w:val="24"/>
              </w:rPr>
            </w:pPr>
            <w:r>
              <w:rPr>
                <w:sz w:val="24"/>
                <w:szCs w:val="24"/>
              </w:rPr>
              <w:t>eller</w:t>
            </w:r>
          </w:p>
          <w:p w:rsidR="008D5AF9" w:rsidRDefault="008D5AF9" w:rsidP="008D5AF9">
            <w:pPr>
              <w:pStyle w:val="Ingenafstand"/>
              <w:rPr>
                <w:sz w:val="24"/>
                <w:szCs w:val="24"/>
              </w:rPr>
            </w:pPr>
            <w:r>
              <w:rPr>
                <w:sz w:val="24"/>
                <w:szCs w:val="24"/>
              </w:rPr>
              <w:t>2. tbl. minocyklin 100 mg x 2 i 14 dage (cure rate på ca. 71%)</w:t>
            </w:r>
          </w:p>
          <w:p w:rsidR="008D5AF9" w:rsidRDefault="008D5AF9" w:rsidP="008D5AF9">
            <w:pPr>
              <w:pStyle w:val="Ingenafstand"/>
              <w:rPr>
                <w:sz w:val="24"/>
                <w:szCs w:val="24"/>
              </w:rPr>
            </w:pPr>
            <w:r>
              <w:rPr>
                <w:sz w:val="24"/>
                <w:szCs w:val="24"/>
              </w:rPr>
              <w:t>eller</w:t>
            </w:r>
          </w:p>
          <w:p w:rsidR="008D5AF9" w:rsidRDefault="008D5AF9" w:rsidP="008D5AF9">
            <w:pPr>
              <w:pStyle w:val="Ingenafstand"/>
              <w:rPr>
                <w:sz w:val="24"/>
                <w:szCs w:val="24"/>
              </w:rPr>
            </w:pPr>
            <w:r>
              <w:rPr>
                <w:sz w:val="24"/>
                <w:szCs w:val="24"/>
              </w:rPr>
              <w:t>3. tbl. doxycyklin 100 mg x 2 i 14 dage (cure rate på 30-40%)</w:t>
            </w:r>
          </w:p>
          <w:p w:rsidR="008D5AF9" w:rsidRDefault="008D5AF9" w:rsidP="008D5AF9">
            <w:pPr>
              <w:pStyle w:val="Ingenafstand"/>
              <w:rPr>
                <w:sz w:val="24"/>
                <w:szCs w:val="24"/>
              </w:rPr>
            </w:pPr>
          </w:p>
        </w:tc>
      </w:tr>
      <w:tr w:rsidR="008D5AF9" w:rsidRPr="001167B7" w:rsidTr="008D5AF9">
        <w:trPr>
          <w:trHeight w:val="850"/>
        </w:trPr>
        <w:tc>
          <w:tcPr>
            <w:tcW w:w="3483" w:type="dxa"/>
            <w:tcBorders>
              <w:top w:val="nil"/>
              <w:left w:val="single" w:sz="4" w:space="0" w:color="auto"/>
              <w:bottom w:val="single" w:sz="4" w:space="0" w:color="auto"/>
              <w:right w:val="nil"/>
            </w:tcBorders>
          </w:tcPr>
          <w:p w:rsidR="008D5AF9" w:rsidRDefault="008D5AF9" w:rsidP="008D5AF9">
            <w:pPr>
              <w:pStyle w:val="Ingenafstand"/>
              <w:rPr>
                <w:sz w:val="24"/>
                <w:szCs w:val="24"/>
              </w:rPr>
            </w:pPr>
            <w:r>
              <w:rPr>
                <w:sz w:val="24"/>
                <w:szCs w:val="24"/>
              </w:rPr>
              <w:t xml:space="preserve">Kompliceret </w:t>
            </w:r>
            <w:r w:rsidRPr="008E06DB">
              <w:rPr>
                <w:i/>
                <w:iCs/>
                <w:sz w:val="24"/>
                <w:szCs w:val="24"/>
              </w:rPr>
              <w:t>M. genitalium</w:t>
            </w:r>
            <w:r>
              <w:rPr>
                <w:sz w:val="24"/>
                <w:szCs w:val="24"/>
              </w:rPr>
              <w:t xml:space="preserve"> infektion (PID, epididymit)</w:t>
            </w:r>
          </w:p>
        </w:tc>
        <w:tc>
          <w:tcPr>
            <w:tcW w:w="6967" w:type="dxa"/>
            <w:gridSpan w:val="2"/>
            <w:tcBorders>
              <w:top w:val="nil"/>
              <w:left w:val="nil"/>
              <w:bottom w:val="single" w:sz="4" w:space="0" w:color="auto"/>
              <w:right w:val="single" w:sz="4" w:space="0" w:color="auto"/>
            </w:tcBorders>
          </w:tcPr>
          <w:p w:rsidR="008D5AF9" w:rsidRPr="001167B7" w:rsidRDefault="008D5AF9" w:rsidP="008D5AF9">
            <w:pPr>
              <w:pStyle w:val="Ingenafstand"/>
              <w:rPr>
                <w:sz w:val="24"/>
                <w:szCs w:val="24"/>
              </w:rPr>
            </w:pPr>
            <w:r>
              <w:rPr>
                <w:sz w:val="24"/>
                <w:szCs w:val="24"/>
              </w:rPr>
              <w:t>Tbl. moxifloxacin 400 mg x 1 i 14 dage</w:t>
            </w:r>
          </w:p>
        </w:tc>
      </w:tr>
    </w:tbl>
    <w:p w:rsidR="008D5AF9" w:rsidRPr="003E1F62" w:rsidRDefault="008D5AF9" w:rsidP="008D5AF9">
      <w:pPr>
        <w:pStyle w:val="Ingenafstand"/>
      </w:pPr>
      <w:bookmarkStart w:id="7" w:name="_Hlk79744428"/>
      <w:bookmarkEnd w:id="6"/>
      <w:r>
        <w:t>PID, pelvic inflammatory disease</w:t>
      </w:r>
    </w:p>
    <w:bookmarkEnd w:id="7"/>
    <w:p w:rsidR="008D5AF9" w:rsidRPr="002F6BFC" w:rsidRDefault="008D5AF9" w:rsidP="008D5AF9">
      <w:pPr>
        <w:pStyle w:val="Ingenafstand"/>
        <w:rPr>
          <w:sz w:val="24"/>
          <w:szCs w:val="24"/>
        </w:rPr>
      </w:pPr>
    </w:p>
    <w:p w:rsidR="008D5AF9" w:rsidRPr="00C422FC" w:rsidRDefault="008D5AF9" w:rsidP="008D5AF9">
      <w:pPr>
        <w:rPr>
          <w:b/>
          <w:bCs/>
          <w:sz w:val="24"/>
          <w:szCs w:val="24"/>
        </w:rPr>
      </w:pPr>
      <w:r w:rsidRPr="00C422FC">
        <w:rPr>
          <w:b/>
          <w:bCs/>
          <w:sz w:val="24"/>
          <w:szCs w:val="24"/>
        </w:rPr>
        <w:t>Kontrol</w:t>
      </w:r>
    </w:p>
    <w:p w:rsidR="008D5AF9" w:rsidRPr="00B36CCB" w:rsidRDefault="008D5AF9" w:rsidP="008D5AF9">
      <w:pPr>
        <w:rPr>
          <w:sz w:val="24"/>
          <w:szCs w:val="24"/>
        </w:rPr>
      </w:pPr>
      <w:r w:rsidRPr="00B36CCB">
        <w:rPr>
          <w:sz w:val="24"/>
          <w:szCs w:val="24"/>
        </w:rPr>
        <w:t xml:space="preserve">På grund af den høje forekomst af resistens (enten tilstede før eller udviklet under behandlingen) anbefales kontrolpodning tidligst tre uger efter afsluttet behandling. Partnere bør testes og behandles med samme antibiotikum som indekspatienten. Persisterende </w:t>
      </w:r>
      <w:r w:rsidRPr="00B36CCB">
        <w:rPr>
          <w:i/>
          <w:iCs/>
          <w:sz w:val="24"/>
          <w:szCs w:val="24"/>
        </w:rPr>
        <w:t>M. genitalium</w:t>
      </w:r>
      <w:r w:rsidRPr="00B36CCB">
        <w:rPr>
          <w:sz w:val="24"/>
          <w:szCs w:val="24"/>
        </w:rPr>
        <w:t xml:space="preserve"> infektion efter behandling er associeret med tilbagevendende uretrit hos mange mænd, hvorfor optimal behandling er vigtig</w:t>
      </w:r>
      <w:r>
        <w:rPr>
          <w:sz w:val="24"/>
          <w:szCs w:val="24"/>
        </w:rPr>
        <w:t xml:space="preserve"> </w:t>
      </w:r>
      <w:r>
        <w:rPr>
          <w:noProof/>
          <w:sz w:val="24"/>
          <w:szCs w:val="24"/>
        </w:rPr>
        <w:t>(26)</w:t>
      </w:r>
      <w:r w:rsidRPr="00B36CCB">
        <w:rPr>
          <w:sz w:val="24"/>
          <w:szCs w:val="24"/>
        </w:rPr>
        <w:t>.</w:t>
      </w:r>
    </w:p>
    <w:p w:rsidR="008D5AF9" w:rsidRPr="002F6BFC" w:rsidRDefault="008D5AF9" w:rsidP="008D5AF9">
      <w:pPr>
        <w:pStyle w:val="Ingenafstand"/>
        <w:rPr>
          <w:sz w:val="24"/>
          <w:szCs w:val="24"/>
        </w:rPr>
      </w:pPr>
    </w:p>
    <w:p w:rsidR="008D5AF9" w:rsidRPr="005B1D59" w:rsidRDefault="008D5AF9" w:rsidP="008D5AF9">
      <w:pPr>
        <w:pStyle w:val="Overskrift3"/>
        <w:rPr>
          <w:rFonts w:ascii="Calibri" w:hAnsi="Calibri" w:cs="Calibri"/>
          <w:sz w:val="28"/>
          <w:szCs w:val="28"/>
        </w:rPr>
      </w:pPr>
      <w:bookmarkStart w:id="8" w:name="_Toc86222541"/>
      <w:r w:rsidRPr="005B1D59">
        <w:rPr>
          <w:rFonts w:ascii="Calibri" w:hAnsi="Calibri" w:cs="Calibri"/>
          <w:sz w:val="28"/>
          <w:szCs w:val="28"/>
        </w:rPr>
        <w:t>Andre årsager</w:t>
      </w:r>
      <w:bookmarkEnd w:id="8"/>
    </w:p>
    <w:p w:rsidR="008D5AF9" w:rsidRPr="00915909" w:rsidRDefault="008D5AF9" w:rsidP="008D5AF9">
      <w:pPr>
        <w:pStyle w:val="Ingenafstand"/>
        <w:rPr>
          <w:sz w:val="24"/>
          <w:szCs w:val="24"/>
        </w:rPr>
      </w:pPr>
      <w:r w:rsidRPr="00915909">
        <w:rPr>
          <w:sz w:val="24"/>
          <w:szCs w:val="24"/>
        </w:rPr>
        <w:tab/>
      </w:r>
    </w:p>
    <w:p w:rsidR="008D5AF9" w:rsidRPr="00C422FC" w:rsidRDefault="008D5AF9" w:rsidP="008D5AF9">
      <w:pPr>
        <w:rPr>
          <w:sz w:val="24"/>
          <w:szCs w:val="24"/>
        </w:rPr>
      </w:pPr>
      <w:r w:rsidRPr="00C422FC">
        <w:rPr>
          <w:sz w:val="24"/>
          <w:szCs w:val="24"/>
        </w:rPr>
        <w:t>Non-klamydi</w:t>
      </w:r>
      <w:r>
        <w:rPr>
          <w:sz w:val="24"/>
          <w:szCs w:val="24"/>
        </w:rPr>
        <w:t>a</w:t>
      </w:r>
      <w:r w:rsidRPr="00C422FC">
        <w:rPr>
          <w:sz w:val="24"/>
          <w:szCs w:val="24"/>
        </w:rPr>
        <w:t>l, non-</w:t>
      </w:r>
      <w:r w:rsidR="00682D70">
        <w:rPr>
          <w:sz w:val="24"/>
          <w:szCs w:val="24"/>
        </w:rPr>
        <w:t>gonorroisk</w:t>
      </w:r>
      <w:r w:rsidRPr="00C422FC">
        <w:rPr>
          <w:sz w:val="24"/>
          <w:szCs w:val="24"/>
        </w:rPr>
        <w:t>, non-mycoplasma uretrit og cervicit</w:t>
      </w:r>
    </w:p>
    <w:p w:rsidR="008D5AF9" w:rsidRPr="00EB45C8" w:rsidRDefault="008D5AF9" w:rsidP="008D5AF9">
      <w:pPr>
        <w:rPr>
          <w:b/>
          <w:bCs/>
          <w:sz w:val="24"/>
          <w:szCs w:val="24"/>
        </w:rPr>
      </w:pPr>
      <w:r w:rsidRPr="00EB45C8">
        <w:rPr>
          <w:b/>
          <w:bCs/>
          <w:sz w:val="24"/>
          <w:szCs w:val="24"/>
        </w:rPr>
        <w:t xml:space="preserve">Baggrund </w:t>
      </w:r>
    </w:p>
    <w:p w:rsidR="008D5AF9" w:rsidRDefault="008D5AF9" w:rsidP="008D5AF9">
      <w:pPr>
        <w:rPr>
          <w:sz w:val="24"/>
          <w:szCs w:val="24"/>
        </w:rPr>
      </w:pPr>
      <w:r w:rsidRPr="002F6BFC">
        <w:rPr>
          <w:sz w:val="24"/>
          <w:szCs w:val="24"/>
        </w:rPr>
        <w:t xml:space="preserve">Uretrit og cervicit er i de fleste tilfælde forårsaget af </w:t>
      </w:r>
      <w:r>
        <w:rPr>
          <w:sz w:val="24"/>
          <w:szCs w:val="24"/>
        </w:rPr>
        <w:t>SOI</w:t>
      </w:r>
      <w:r w:rsidRPr="002F6BFC">
        <w:rPr>
          <w:sz w:val="24"/>
          <w:szCs w:val="24"/>
        </w:rPr>
        <w:t>. Non-klamydia, non-</w:t>
      </w:r>
      <w:r w:rsidR="00682D70">
        <w:rPr>
          <w:sz w:val="24"/>
          <w:szCs w:val="24"/>
        </w:rPr>
        <w:t>gonorroisk</w:t>
      </w:r>
      <w:r w:rsidRPr="002F6BFC">
        <w:rPr>
          <w:sz w:val="24"/>
          <w:szCs w:val="24"/>
        </w:rPr>
        <w:t xml:space="preserve">, non-mycoplasma uretrit/cervicit kan være forårsaget af </w:t>
      </w:r>
      <w:r w:rsidRPr="00F55511">
        <w:rPr>
          <w:i/>
          <w:iCs/>
          <w:sz w:val="24"/>
          <w:szCs w:val="24"/>
        </w:rPr>
        <w:t>Ureaplasma urealyticum</w:t>
      </w:r>
      <w:r w:rsidRPr="002F6BFC">
        <w:rPr>
          <w:sz w:val="24"/>
          <w:szCs w:val="24"/>
        </w:rPr>
        <w:t xml:space="preserve">, </w:t>
      </w:r>
      <w:r w:rsidRPr="00A73E8D">
        <w:rPr>
          <w:i/>
          <w:iCs/>
          <w:sz w:val="24"/>
          <w:szCs w:val="24"/>
        </w:rPr>
        <w:t>Trichomonas vaginalis</w:t>
      </w:r>
      <w:r w:rsidRPr="002F6BFC">
        <w:rPr>
          <w:sz w:val="24"/>
          <w:szCs w:val="24"/>
        </w:rPr>
        <w:t xml:space="preserve">, Streptokokker gr. B, anaerobe bakterier, herpes simplex virus eller adenovirus. Der findes desuden mange endnu ukendte ætiologier. Strikturer i uretra og fremmedlegemer kan også forårsage uretrit. </w:t>
      </w:r>
      <w:r w:rsidRPr="00E30A92">
        <w:rPr>
          <w:sz w:val="24"/>
          <w:szCs w:val="24"/>
        </w:rPr>
        <w:t>Prostatit og bækkenbundsmyoser kan give symptomer, som ikke kan skelnes fra uretrit, men har ikke leukocytter i uretralsmear, hvorfor mikroskopi er en afgørende diagnostisk undersøgelse</w:t>
      </w:r>
      <w:r>
        <w:rPr>
          <w:sz w:val="24"/>
          <w:szCs w:val="24"/>
        </w:rPr>
        <w:t xml:space="preserve"> </w:t>
      </w:r>
      <w:r>
        <w:rPr>
          <w:noProof/>
          <w:sz w:val="24"/>
          <w:szCs w:val="24"/>
        </w:rPr>
        <w:t>(9)</w:t>
      </w:r>
      <w:r>
        <w:rPr>
          <w:sz w:val="24"/>
          <w:szCs w:val="24"/>
        </w:rPr>
        <w:t>.</w:t>
      </w:r>
    </w:p>
    <w:p w:rsidR="008D5AF9" w:rsidRPr="00EB45C8" w:rsidRDefault="008D5AF9" w:rsidP="008D5AF9">
      <w:pPr>
        <w:rPr>
          <w:b/>
          <w:bCs/>
          <w:sz w:val="24"/>
          <w:szCs w:val="24"/>
        </w:rPr>
      </w:pPr>
      <w:r w:rsidRPr="00EB45C8">
        <w:rPr>
          <w:b/>
          <w:bCs/>
          <w:sz w:val="24"/>
          <w:szCs w:val="24"/>
        </w:rPr>
        <w:t>Diagnostik</w:t>
      </w:r>
    </w:p>
    <w:p w:rsidR="008D5AF9" w:rsidRDefault="008D5AF9" w:rsidP="008D5AF9">
      <w:pPr>
        <w:rPr>
          <w:sz w:val="24"/>
          <w:szCs w:val="24"/>
        </w:rPr>
      </w:pPr>
      <w:r>
        <w:rPr>
          <w:sz w:val="24"/>
          <w:szCs w:val="24"/>
        </w:rPr>
        <w:t>Mikroskopi: som beskrevet for NGU og non-</w:t>
      </w:r>
      <w:r w:rsidR="00682D70">
        <w:rPr>
          <w:sz w:val="24"/>
          <w:szCs w:val="24"/>
        </w:rPr>
        <w:t>gonorroisk</w:t>
      </w:r>
      <w:r>
        <w:rPr>
          <w:sz w:val="24"/>
          <w:szCs w:val="24"/>
        </w:rPr>
        <w:t xml:space="preserve"> cervicit under afsnittet ”Klamydia” diagnostik.</w:t>
      </w:r>
    </w:p>
    <w:p w:rsidR="008D5AF9" w:rsidRPr="002F6BFC" w:rsidRDefault="008D5AF9" w:rsidP="008D5AF9">
      <w:pPr>
        <w:rPr>
          <w:sz w:val="24"/>
          <w:szCs w:val="24"/>
        </w:rPr>
      </w:pPr>
      <w:r w:rsidRPr="002F6BFC">
        <w:rPr>
          <w:sz w:val="24"/>
          <w:szCs w:val="24"/>
        </w:rPr>
        <w:t>NAT og dyrkning:</w:t>
      </w:r>
    </w:p>
    <w:p w:rsidR="008D5AF9" w:rsidRPr="002F6BFC" w:rsidRDefault="008D5AF9" w:rsidP="008D5AF9">
      <w:pPr>
        <w:rPr>
          <w:sz w:val="24"/>
          <w:szCs w:val="24"/>
        </w:rPr>
      </w:pPr>
      <w:r w:rsidRPr="002F6BFC">
        <w:rPr>
          <w:sz w:val="24"/>
          <w:szCs w:val="24"/>
        </w:rPr>
        <w:t xml:space="preserve">Rutinemæssigt undersøges ikke for ovennævnte mikroorganismer før der er behandlet med doxycyclin eller et makrolidantibiotikum. Det er en klinisk erfaring, at symptomerne ofte svinder efter </w:t>
      </w:r>
      <w:r>
        <w:rPr>
          <w:sz w:val="24"/>
          <w:szCs w:val="24"/>
        </w:rPr>
        <w:t xml:space="preserve">førnævnte </w:t>
      </w:r>
      <w:r w:rsidRPr="002F6BFC">
        <w:rPr>
          <w:sz w:val="24"/>
          <w:szCs w:val="24"/>
        </w:rPr>
        <w:t xml:space="preserve">behandling. Ved </w:t>
      </w:r>
      <w:r>
        <w:rPr>
          <w:sz w:val="24"/>
          <w:szCs w:val="24"/>
        </w:rPr>
        <w:t>persisterende</w:t>
      </w:r>
      <w:r w:rsidRPr="002F6BFC">
        <w:rPr>
          <w:sz w:val="24"/>
          <w:szCs w:val="24"/>
        </w:rPr>
        <w:t xml:space="preserve"> symptomer kan der</w:t>
      </w:r>
      <w:r>
        <w:rPr>
          <w:sz w:val="24"/>
          <w:szCs w:val="24"/>
        </w:rPr>
        <w:t>,</w:t>
      </w:r>
      <w:r w:rsidRPr="002F6BFC">
        <w:rPr>
          <w:sz w:val="24"/>
          <w:szCs w:val="24"/>
        </w:rPr>
        <w:t xml:space="preserve"> når gonorré, klamydia og </w:t>
      </w:r>
      <w:r w:rsidRPr="00655A3F">
        <w:rPr>
          <w:i/>
          <w:iCs/>
          <w:sz w:val="24"/>
          <w:szCs w:val="24"/>
        </w:rPr>
        <w:t>M. genitalium</w:t>
      </w:r>
      <w:r w:rsidRPr="002F6BFC">
        <w:rPr>
          <w:sz w:val="24"/>
          <w:szCs w:val="24"/>
        </w:rPr>
        <w:t xml:space="preserve"> infektion er udelukket</w:t>
      </w:r>
      <w:r>
        <w:rPr>
          <w:sz w:val="24"/>
          <w:szCs w:val="24"/>
        </w:rPr>
        <w:t>,</w:t>
      </w:r>
      <w:r w:rsidRPr="002F6BFC">
        <w:rPr>
          <w:sz w:val="24"/>
          <w:szCs w:val="24"/>
        </w:rPr>
        <w:t xml:space="preserve"> undersøges for:</w:t>
      </w:r>
    </w:p>
    <w:p w:rsidR="008D5AF9" w:rsidRPr="00482AA8" w:rsidRDefault="008D5AF9" w:rsidP="008D5AF9">
      <w:pPr>
        <w:rPr>
          <w:sz w:val="24"/>
          <w:szCs w:val="24"/>
        </w:rPr>
      </w:pPr>
      <w:r w:rsidRPr="00482AA8">
        <w:rPr>
          <w:i/>
          <w:iCs/>
          <w:sz w:val="24"/>
          <w:szCs w:val="24"/>
        </w:rPr>
        <w:t>Ureaplasma urealyticum</w:t>
      </w:r>
      <w:r w:rsidRPr="00482AA8">
        <w:rPr>
          <w:sz w:val="24"/>
          <w:szCs w:val="24"/>
        </w:rPr>
        <w:t xml:space="preserve">: Podning til dyrkning eller NAT. Betydning af positivt fund skal tolkes med </w:t>
      </w:r>
      <w:r>
        <w:rPr>
          <w:sz w:val="24"/>
          <w:szCs w:val="24"/>
        </w:rPr>
        <w:t xml:space="preserve">stor </w:t>
      </w:r>
      <w:r w:rsidRPr="00482AA8">
        <w:rPr>
          <w:sz w:val="24"/>
          <w:szCs w:val="24"/>
        </w:rPr>
        <w:t xml:space="preserve">forsigtighed, da ca. 40% af raske mænd er bærere af </w:t>
      </w:r>
      <w:r w:rsidRPr="00482AA8">
        <w:rPr>
          <w:i/>
          <w:iCs/>
          <w:sz w:val="24"/>
          <w:szCs w:val="24"/>
        </w:rPr>
        <w:t>ureaplasma urealyticum</w:t>
      </w:r>
      <w:r w:rsidRPr="00482AA8">
        <w:rPr>
          <w:sz w:val="24"/>
          <w:szCs w:val="24"/>
        </w:rPr>
        <w:t xml:space="preserve">. </w:t>
      </w:r>
      <w:r>
        <w:rPr>
          <w:sz w:val="24"/>
          <w:szCs w:val="24"/>
        </w:rPr>
        <w:t>Bør derfor kun undersøges for ved persisterende uretrit, hvor behandling med tbl. doxycyklin 100 mg x 2 daglig har været forsøgt og uden effekt</w:t>
      </w:r>
      <w:r w:rsidR="00655A3F">
        <w:rPr>
          <w:sz w:val="24"/>
          <w:szCs w:val="24"/>
        </w:rPr>
        <w:t>.</w:t>
      </w:r>
      <w:r>
        <w:rPr>
          <w:sz w:val="24"/>
          <w:szCs w:val="24"/>
        </w:rPr>
        <w:t xml:space="preserve"> </w:t>
      </w:r>
      <w:r w:rsidRPr="00482AA8">
        <w:rPr>
          <w:sz w:val="24"/>
          <w:szCs w:val="24"/>
        </w:rPr>
        <w:t>Kan desuden påvises hos 50-70 % af raske unge kvinder hvorfor der formentlig i første omgang ikke skal partnerbehandles.</w:t>
      </w:r>
    </w:p>
    <w:p w:rsidR="008D5AF9" w:rsidRPr="002F6BFC" w:rsidRDefault="008D5AF9" w:rsidP="008D5AF9">
      <w:pPr>
        <w:rPr>
          <w:sz w:val="24"/>
          <w:szCs w:val="24"/>
        </w:rPr>
      </w:pPr>
      <w:r w:rsidRPr="002F6BFC">
        <w:rPr>
          <w:sz w:val="24"/>
          <w:szCs w:val="24"/>
        </w:rPr>
        <w:t>Streptokokker: Podning til dyrkning</w:t>
      </w:r>
    </w:p>
    <w:p w:rsidR="008D5AF9" w:rsidRPr="00482AA8" w:rsidRDefault="008D5AF9" w:rsidP="008D5AF9">
      <w:pPr>
        <w:rPr>
          <w:sz w:val="24"/>
          <w:szCs w:val="24"/>
        </w:rPr>
      </w:pPr>
      <w:r w:rsidRPr="00482AA8">
        <w:rPr>
          <w:i/>
          <w:iCs/>
          <w:sz w:val="24"/>
          <w:szCs w:val="24"/>
        </w:rPr>
        <w:t>Trichomonas vaginalis</w:t>
      </w:r>
      <w:r w:rsidRPr="00482AA8">
        <w:rPr>
          <w:sz w:val="24"/>
          <w:szCs w:val="24"/>
        </w:rPr>
        <w:t xml:space="preserve">: Podning til NAT (mænd: fra uretra, kvinder: fra fornix posterior). Kan også påvises ved mikroskopi af wet-smear præparat. </w:t>
      </w:r>
    </w:p>
    <w:p w:rsidR="008D5AF9" w:rsidRPr="00482AA8" w:rsidRDefault="008D5AF9" w:rsidP="008D5AF9">
      <w:pPr>
        <w:rPr>
          <w:sz w:val="24"/>
          <w:szCs w:val="24"/>
        </w:rPr>
      </w:pPr>
      <w:r w:rsidRPr="00482AA8">
        <w:rPr>
          <w:sz w:val="24"/>
          <w:szCs w:val="24"/>
        </w:rPr>
        <w:t>Herpes simplex virus: podning for HSV-type 1 og 2 til NAT ved monocytter på uretralt smear og recidiverende symptomer.</w:t>
      </w:r>
    </w:p>
    <w:p w:rsidR="008D5AF9" w:rsidRPr="00482AA8" w:rsidRDefault="008D5AF9" w:rsidP="008D5AF9">
      <w:pPr>
        <w:rPr>
          <w:sz w:val="24"/>
          <w:szCs w:val="24"/>
        </w:rPr>
      </w:pPr>
      <w:r w:rsidRPr="00482AA8">
        <w:rPr>
          <w:sz w:val="24"/>
          <w:szCs w:val="24"/>
        </w:rPr>
        <w:t>Adenovirus: Podning eller urin til NAT (især ved svær meatit)</w:t>
      </w:r>
    </w:p>
    <w:p w:rsidR="008D5AF9" w:rsidRPr="00EB45C8" w:rsidRDefault="008D5AF9" w:rsidP="008D5AF9">
      <w:pPr>
        <w:pStyle w:val="Listeafsnit"/>
        <w:rPr>
          <w:sz w:val="24"/>
          <w:szCs w:val="24"/>
        </w:rPr>
      </w:pPr>
    </w:p>
    <w:p w:rsidR="008D5AF9" w:rsidRDefault="008D5AF9" w:rsidP="008D5AF9">
      <w:pPr>
        <w:rPr>
          <w:sz w:val="24"/>
          <w:szCs w:val="24"/>
        </w:rPr>
      </w:pPr>
    </w:p>
    <w:p w:rsidR="008D5AF9" w:rsidRPr="001F5F97" w:rsidRDefault="008D5AF9" w:rsidP="008D5AF9">
      <w:pPr>
        <w:pBdr>
          <w:left w:val="single" w:sz="4" w:space="4" w:color="auto"/>
          <w:right w:val="single" w:sz="4" w:space="4" w:color="auto"/>
        </w:pBdr>
        <w:rPr>
          <w:b/>
          <w:bCs/>
          <w:sz w:val="24"/>
          <w:szCs w:val="24"/>
        </w:rPr>
      </w:pPr>
      <w:r w:rsidRPr="001F5F97">
        <w:rPr>
          <w:b/>
          <w:bCs/>
          <w:sz w:val="24"/>
          <w:szCs w:val="24"/>
        </w:rPr>
        <w:t>Behandling</w:t>
      </w:r>
    </w:p>
    <w:tbl>
      <w:tblPr>
        <w:tblStyle w:val="Tabel-Gitter"/>
        <w:tblW w:w="10780" w:type="dxa"/>
        <w:tblLook w:val="04A0" w:firstRow="1" w:lastRow="0" w:firstColumn="1" w:lastColumn="0" w:noHBand="0" w:noVBand="1"/>
      </w:tblPr>
      <w:tblGrid>
        <w:gridCol w:w="2830"/>
        <w:gridCol w:w="2552"/>
        <w:gridCol w:w="5398"/>
      </w:tblGrid>
      <w:tr w:rsidR="008D5AF9" w:rsidRPr="00A10950" w:rsidTr="008D5AF9">
        <w:trPr>
          <w:trHeight w:val="589"/>
        </w:trPr>
        <w:tc>
          <w:tcPr>
            <w:tcW w:w="10780" w:type="dxa"/>
            <w:gridSpan w:val="3"/>
          </w:tcPr>
          <w:p w:rsidR="008D5AF9" w:rsidRPr="00A10950" w:rsidRDefault="008D5AF9" w:rsidP="008D5AF9">
            <w:pPr>
              <w:rPr>
                <w:sz w:val="24"/>
                <w:szCs w:val="24"/>
              </w:rPr>
            </w:pPr>
            <w:bookmarkStart w:id="9" w:name="_Hlk79747003"/>
            <w:r w:rsidRPr="00EB45C8">
              <w:rPr>
                <w:b/>
                <w:bCs/>
                <w:sz w:val="24"/>
                <w:szCs w:val="24"/>
              </w:rPr>
              <w:t xml:space="preserve">Tabel </w:t>
            </w:r>
            <w:r>
              <w:rPr>
                <w:b/>
                <w:bCs/>
                <w:sz w:val="24"/>
                <w:szCs w:val="24"/>
              </w:rPr>
              <w:t>5</w:t>
            </w:r>
            <w:r w:rsidRPr="00A10950">
              <w:rPr>
                <w:sz w:val="24"/>
                <w:szCs w:val="24"/>
              </w:rPr>
              <w:t xml:space="preserve">  </w:t>
            </w:r>
            <w:r>
              <w:rPr>
                <w:sz w:val="24"/>
                <w:szCs w:val="24"/>
              </w:rPr>
              <w:t xml:space="preserve">    </w:t>
            </w:r>
            <w:r w:rsidRPr="00A10950">
              <w:rPr>
                <w:sz w:val="24"/>
                <w:szCs w:val="24"/>
              </w:rPr>
              <w:t>Behandling af n</w:t>
            </w:r>
            <w:r>
              <w:rPr>
                <w:sz w:val="24"/>
                <w:szCs w:val="24"/>
              </w:rPr>
              <w:t>on-klamydia, non-</w:t>
            </w:r>
            <w:r w:rsidR="00682D70">
              <w:rPr>
                <w:sz w:val="24"/>
                <w:szCs w:val="24"/>
              </w:rPr>
              <w:t>gonorroisk</w:t>
            </w:r>
            <w:r>
              <w:rPr>
                <w:sz w:val="24"/>
                <w:szCs w:val="24"/>
              </w:rPr>
              <w:t>, non-mycoplasma uretrit og cervicit</w:t>
            </w:r>
          </w:p>
        </w:tc>
      </w:tr>
      <w:tr w:rsidR="008D5AF9" w:rsidRPr="00DC6BA8" w:rsidTr="0084387F">
        <w:trPr>
          <w:trHeight w:val="589"/>
        </w:trPr>
        <w:tc>
          <w:tcPr>
            <w:tcW w:w="2830" w:type="dxa"/>
            <w:tcBorders>
              <w:bottom w:val="single" w:sz="4" w:space="0" w:color="auto"/>
            </w:tcBorders>
          </w:tcPr>
          <w:p w:rsidR="008D5AF9" w:rsidRPr="00373D8F" w:rsidRDefault="008D5AF9" w:rsidP="008D5AF9">
            <w:pPr>
              <w:rPr>
                <w:b/>
                <w:bCs/>
                <w:sz w:val="24"/>
                <w:szCs w:val="24"/>
                <w:lang w:val="en-US"/>
              </w:rPr>
            </w:pPr>
            <w:r w:rsidRPr="00373D8F">
              <w:rPr>
                <w:b/>
                <w:bCs/>
                <w:sz w:val="24"/>
                <w:szCs w:val="24"/>
                <w:lang w:val="en-US"/>
              </w:rPr>
              <w:t>Ukompliceret non-GK, non-CT, non-Mg uretrit</w:t>
            </w:r>
          </w:p>
        </w:tc>
        <w:tc>
          <w:tcPr>
            <w:tcW w:w="2552" w:type="dxa"/>
            <w:tcBorders>
              <w:bottom w:val="single" w:sz="4" w:space="0" w:color="auto"/>
            </w:tcBorders>
          </w:tcPr>
          <w:p w:rsidR="008D5AF9" w:rsidRPr="00DC6BA8" w:rsidRDefault="008D5AF9" w:rsidP="008D5AF9">
            <w:pPr>
              <w:rPr>
                <w:sz w:val="24"/>
                <w:szCs w:val="24"/>
                <w:lang w:val="en-US"/>
              </w:rPr>
            </w:pPr>
            <w:r>
              <w:rPr>
                <w:sz w:val="24"/>
                <w:szCs w:val="24"/>
                <w:lang w:val="en-US"/>
              </w:rPr>
              <w:t>Behandling</w:t>
            </w:r>
          </w:p>
        </w:tc>
        <w:tc>
          <w:tcPr>
            <w:tcW w:w="5398" w:type="dxa"/>
            <w:tcBorders>
              <w:bottom w:val="single" w:sz="4" w:space="0" w:color="auto"/>
            </w:tcBorders>
          </w:tcPr>
          <w:p w:rsidR="008D5AF9" w:rsidRPr="00DC6BA8" w:rsidRDefault="008D5AF9" w:rsidP="008D5AF9">
            <w:pPr>
              <w:rPr>
                <w:sz w:val="24"/>
                <w:szCs w:val="24"/>
                <w:lang w:val="en-US"/>
              </w:rPr>
            </w:pPr>
            <w:r>
              <w:rPr>
                <w:sz w:val="24"/>
                <w:szCs w:val="24"/>
                <w:lang w:val="en-US"/>
              </w:rPr>
              <w:t>Kommentar</w:t>
            </w:r>
          </w:p>
        </w:tc>
      </w:tr>
      <w:tr w:rsidR="008D5AF9" w:rsidRPr="001667DA" w:rsidTr="0084387F">
        <w:trPr>
          <w:trHeight w:val="574"/>
        </w:trPr>
        <w:tc>
          <w:tcPr>
            <w:tcW w:w="2830" w:type="dxa"/>
            <w:tcBorders>
              <w:top w:val="single" w:sz="4" w:space="0" w:color="auto"/>
              <w:left w:val="single" w:sz="4" w:space="0" w:color="auto"/>
              <w:bottom w:val="nil"/>
              <w:right w:val="nil"/>
            </w:tcBorders>
          </w:tcPr>
          <w:p w:rsidR="008D5AF9" w:rsidRPr="00DC6BA8" w:rsidRDefault="008D5AF9" w:rsidP="008D5AF9">
            <w:pPr>
              <w:rPr>
                <w:sz w:val="24"/>
                <w:szCs w:val="24"/>
                <w:lang w:val="en-US"/>
              </w:rPr>
            </w:pPr>
            <w:r>
              <w:rPr>
                <w:sz w:val="24"/>
                <w:szCs w:val="24"/>
                <w:lang w:val="en-US"/>
              </w:rPr>
              <w:t>Empirisk behandling</w:t>
            </w:r>
          </w:p>
        </w:tc>
        <w:tc>
          <w:tcPr>
            <w:tcW w:w="2552" w:type="dxa"/>
            <w:tcBorders>
              <w:top w:val="single" w:sz="4" w:space="0" w:color="auto"/>
              <w:left w:val="nil"/>
              <w:bottom w:val="nil"/>
              <w:right w:val="nil"/>
            </w:tcBorders>
          </w:tcPr>
          <w:p w:rsidR="008D5AF9" w:rsidRPr="001667DA" w:rsidRDefault="008D5AF9" w:rsidP="008D5AF9">
            <w:pPr>
              <w:rPr>
                <w:sz w:val="24"/>
                <w:szCs w:val="24"/>
              </w:rPr>
            </w:pPr>
            <w:r w:rsidRPr="001667DA">
              <w:rPr>
                <w:sz w:val="24"/>
                <w:szCs w:val="24"/>
              </w:rPr>
              <w:t>Tbl. doxycyklin 100 mg x 2</w:t>
            </w:r>
            <w:r>
              <w:rPr>
                <w:sz w:val="24"/>
                <w:szCs w:val="24"/>
              </w:rPr>
              <w:t xml:space="preserve"> i</w:t>
            </w:r>
            <w:r w:rsidRPr="001667DA">
              <w:rPr>
                <w:sz w:val="24"/>
                <w:szCs w:val="24"/>
              </w:rPr>
              <w:t xml:space="preserve"> </w:t>
            </w:r>
            <w:r>
              <w:rPr>
                <w:sz w:val="24"/>
                <w:szCs w:val="24"/>
              </w:rPr>
              <w:t>7 dage</w:t>
            </w:r>
          </w:p>
        </w:tc>
        <w:tc>
          <w:tcPr>
            <w:tcW w:w="5398" w:type="dxa"/>
            <w:tcBorders>
              <w:top w:val="single" w:sz="4" w:space="0" w:color="auto"/>
              <w:left w:val="nil"/>
              <w:bottom w:val="nil"/>
              <w:right w:val="single" w:sz="4" w:space="0" w:color="auto"/>
            </w:tcBorders>
          </w:tcPr>
          <w:p w:rsidR="008D5AF9" w:rsidRPr="001667DA" w:rsidRDefault="008D5AF9" w:rsidP="00804FBD">
            <w:pPr>
              <w:rPr>
                <w:sz w:val="24"/>
                <w:szCs w:val="24"/>
              </w:rPr>
            </w:pPr>
            <w:r w:rsidRPr="001667DA">
              <w:rPr>
                <w:sz w:val="24"/>
                <w:szCs w:val="24"/>
              </w:rPr>
              <w:t xml:space="preserve">Før </w:t>
            </w:r>
            <w:r>
              <w:rPr>
                <w:sz w:val="24"/>
                <w:szCs w:val="24"/>
              </w:rPr>
              <w:t xml:space="preserve">yderligere </w:t>
            </w:r>
            <w:r w:rsidRPr="001667DA">
              <w:rPr>
                <w:sz w:val="24"/>
                <w:szCs w:val="24"/>
              </w:rPr>
              <w:t>prøvesvar eller ved n</w:t>
            </w:r>
            <w:r>
              <w:rPr>
                <w:sz w:val="24"/>
                <w:szCs w:val="24"/>
              </w:rPr>
              <w:t>egative prøvesvar</w:t>
            </w:r>
          </w:p>
        </w:tc>
      </w:tr>
      <w:tr w:rsidR="008D5AF9" w:rsidRPr="001667DA" w:rsidTr="0084387F">
        <w:trPr>
          <w:trHeight w:val="589"/>
        </w:trPr>
        <w:tc>
          <w:tcPr>
            <w:tcW w:w="2830" w:type="dxa"/>
            <w:tcBorders>
              <w:top w:val="nil"/>
              <w:left w:val="single" w:sz="4" w:space="0" w:color="auto"/>
              <w:bottom w:val="nil"/>
              <w:right w:val="nil"/>
            </w:tcBorders>
          </w:tcPr>
          <w:p w:rsidR="008D5AF9" w:rsidRPr="00F55511" w:rsidRDefault="008D5AF9" w:rsidP="008D5AF9">
            <w:pPr>
              <w:rPr>
                <w:i/>
                <w:iCs/>
                <w:sz w:val="24"/>
                <w:szCs w:val="24"/>
              </w:rPr>
            </w:pPr>
            <w:r w:rsidRPr="00F55511">
              <w:rPr>
                <w:i/>
                <w:iCs/>
                <w:sz w:val="24"/>
                <w:szCs w:val="24"/>
              </w:rPr>
              <w:t>T. vaginalis</w:t>
            </w:r>
          </w:p>
        </w:tc>
        <w:tc>
          <w:tcPr>
            <w:tcW w:w="2552" w:type="dxa"/>
            <w:tcBorders>
              <w:top w:val="nil"/>
              <w:left w:val="nil"/>
              <w:bottom w:val="nil"/>
              <w:right w:val="nil"/>
            </w:tcBorders>
          </w:tcPr>
          <w:p w:rsidR="008D5AF9" w:rsidRPr="001667DA" w:rsidRDefault="008D5AF9" w:rsidP="00804FBD">
            <w:pPr>
              <w:rPr>
                <w:sz w:val="24"/>
                <w:szCs w:val="24"/>
              </w:rPr>
            </w:pPr>
            <w:r>
              <w:rPr>
                <w:sz w:val="24"/>
                <w:szCs w:val="24"/>
              </w:rPr>
              <w:t>Tbl. metronidazol 500 mg x 2 i 7 dage</w:t>
            </w:r>
          </w:p>
        </w:tc>
        <w:tc>
          <w:tcPr>
            <w:tcW w:w="5398" w:type="dxa"/>
            <w:tcBorders>
              <w:top w:val="nil"/>
              <w:left w:val="nil"/>
              <w:bottom w:val="nil"/>
              <w:right w:val="single" w:sz="4" w:space="0" w:color="auto"/>
            </w:tcBorders>
          </w:tcPr>
          <w:p w:rsidR="008D5AF9" w:rsidRPr="001667DA" w:rsidRDefault="008D5AF9" w:rsidP="008D5AF9">
            <w:pPr>
              <w:rPr>
                <w:sz w:val="24"/>
                <w:szCs w:val="24"/>
              </w:rPr>
            </w:pPr>
            <w:r>
              <w:rPr>
                <w:sz w:val="24"/>
                <w:szCs w:val="24"/>
              </w:rPr>
              <w:t>NB! Partnerbehandling indiceret</w:t>
            </w:r>
          </w:p>
        </w:tc>
      </w:tr>
      <w:tr w:rsidR="008D5AF9" w:rsidRPr="00D26F02" w:rsidTr="0084387F">
        <w:trPr>
          <w:trHeight w:val="589"/>
        </w:trPr>
        <w:tc>
          <w:tcPr>
            <w:tcW w:w="2830" w:type="dxa"/>
            <w:tcBorders>
              <w:top w:val="nil"/>
              <w:left w:val="single" w:sz="4" w:space="0" w:color="auto"/>
              <w:bottom w:val="nil"/>
              <w:right w:val="nil"/>
            </w:tcBorders>
          </w:tcPr>
          <w:p w:rsidR="008D5AF9" w:rsidRPr="00F55511" w:rsidRDefault="008D5AF9" w:rsidP="008D5AF9">
            <w:pPr>
              <w:rPr>
                <w:i/>
                <w:iCs/>
                <w:sz w:val="24"/>
                <w:szCs w:val="24"/>
              </w:rPr>
            </w:pPr>
            <w:r>
              <w:rPr>
                <w:sz w:val="24"/>
                <w:szCs w:val="24"/>
              </w:rPr>
              <w:t>Streptokokker</w:t>
            </w:r>
          </w:p>
        </w:tc>
        <w:tc>
          <w:tcPr>
            <w:tcW w:w="2552" w:type="dxa"/>
            <w:tcBorders>
              <w:top w:val="nil"/>
              <w:left w:val="nil"/>
              <w:bottom w:val="nil"/>
              <w:right w:val="nil"/>
            </w:tcBorders>
          </w:tcPr>
          <w:p w:rsidR="008D5AF9" w:rsidRPr="001667DA" w:rsidRDefault="008D5AF9" w:rsidP="00804FBD">
            <w:pPr>
              <w:rPr>
                <w:sz w:val="24"/>
                <w:szCs w:val="24"/>
                <w:lang w:val="en-US"/>
              </w:rPr>
            </w:pPr>
            <w:r w:rsidRPr="001667DA">
              <w:rPr>
                <w:sz w:val="24"/>
                <w:szCs w:val="24"/>
                <w:lang w:val="en-US"/>
              </w:rPr>
              <w:t>Tbl. phenoxymethyl penicillin eller t</w:t>
            </w:r>
            <w:r>
              <w:rPr>
                <w:sz w:val="24"/>
                <w:szCs w:val="24"/>
                <w:lang w:val="en-US"/>
              </w:rPr>
              <w:t>bl. roxithromycin</w:t>
            </w:r>
          </w:p>
        </w:tc>
        <w:tc>
          <w:tcPr>
            <w:tcW w:w="5398" w:type="dxa"/>
            <w:tcBorders>
              <w:top w:val="nil"/>
              <w:left w:val="nil"/>
              <w:bottom w:val="nil"/>
              <w:right w:val="single" w:sz="4" w:space="0" w:color="auto"/>
            </w:tcBorders>
          </w:tcPr>
          <w:p w:rsidR="008D5AF9" w:rsidRPr="001667DA" w:rsidRDefault="008D5AF9" w:rsidP="008D5AF9">
            <w:pPr>
              <w:rPr>
                <w:sz w:val="24"/>
                <w:szCs w:val="24"/>
                <w:lang w:val="en-US"/>
              </w:rPr>
            </w:pPr>
          </w:p>
        </w:tc>
      </w:tr>
      <w:tr w:rsidR="008D5AF9" w:rsidRPr="008D5AF9" w:rsidTr="0084387F">
        <w:trPr>
          <w:trHeight w:val="287"/>
        </w:trPr>
        <w:tc>
          <w:tcPr>
            <w:tcW w:w="2830" w:type="dxa"/>
            <w:tcBorders>
              <w:top w:val="nil"/>
              <w:left w:val="single" w:sz="4" w:space="0" w:color="auto"/>
              <w:bottom w:val="nil"/>
              <w:right w:val="nil"/>
            </w:tcBorders>
          </w:tcPr>
          <w:p w:rsidR="008D5AF9" w:rsidRPr="001667DA" w:rsidRDefault="008D5AF9" w:rsidP="008D5AF9">
            <w:pPr>
              <w:rPr>
                <w:sz w:val="24"/>
                <w:szCs w:val="24"/>
                <w:lang w:val="en-US"/>
              </w:rPr>
            </w:pPr>
            <w:r>
              <w:rPr>
                <w:sz w:val="24"/>
                <w:szCs w:val="24"/>
                <w:lang w:val="en-US"/>
              </w:rPr>
              <w:t>Herpes simplex virus</w:t>
            </w:r>
          </w:p>
        </w:tc>
        <w:tc>
          <w:tcPr>
            <w:tcW w:w="2552" w:type="dxa"/>
            <w:tcBorders>
              <w:top w:val="nil"/>
              <w:left w:val="nil"/>
              <w:bottom w:val="nil"/>
              <w:right w:val="nil"/>
            </w:tcBorders>
          </w:tcPr>
          <w:p w:rsidR="008D5AF9" w:rsidRPr="00682D70" w:rsidRDefault="008D5AF9" w:rsidP="00804FBD">
            <w:pPr>
              <w:pStyle w:val="Ingenafstand"/>
            </w:pPr>
            <w:r w:rsidRPr="00682D70">
              <w:t xml:space="preserve">Tbl. valaciclovir eller aciclovir, jvf. </w:t>
            </w:r>
          </w:p>
          <w:p w:rsidR="008D5AF9" w:rsidRPr="00682D70" w:rsidRDefault="00804FBD" w:rsidP="00804FBD">
            <w:pPr>
              <w:pStyle w:val="Ingenafstand"/>
            </w:pPr>
            <w:r w:rsidRPr="00682D70">
              <w:t>Tabel 7</w:t>
            </w:r>
          </w:p>
          <w:p w:rsidR="008D5AF9" w:rsidRPr="00682D70" w:rsidRDefault="008D5AF9" w:rsidP="00804FBD">
            <w:pPr>
              <w:pStyle w:val="Ingenafstand"/>
            </w:pPr>
          </w:p>
        </w:tc>
        <w:tc>
          <w:tcPr>
            <w:tcW w:w="5398" w:type="dxa"/>
            <w:tcBorders>
              <w:top w:val="nil"/>
              <w:left w:val="nil"/>
              <w:bottom w:val="nil"/>
              <w:right w:val="single" w:sz="4" w:space="0" w:color="auto"/>
            </w:tcBorders>
          </w:tcPr>
          <w:p w:rsidR="008D5AF9" w:rsidRPr="00682D70" w:rsidRDefault="008D5AF9" w:rsidP="008D5AF9">
            <w:pPr>
              <w:rPr>
                <w:sz w:val="24"/>
                <w:szCs w:val="24"/>
              </w:rPr>
            </w:pPr>
          </w:p>
        </w:tc>
      </w:tr>
      <w:tr w:rsidR="008D5AF9" w:rsidRPr="001667DA" w:rsidTr="0084387F">
        <w:trPr>
          <w:trHeight w:val="800"/>
        </w:trPr>
        <w:tc>
          <w:tcPr>
            <w:tcW w:w="2830" w:type="dxa"/>
            <w:tcBorders>
              <w:top w:val="nil"/>
              <w:left w:val="single" w:sz="4" w:space="0" w:color="auto"/>
              <w:bottom w:val="nil"/>
              <w:right w:val="nil"/>
            </w:tcBorders>
          </w:tcPr>
          <w:p w:rsidR="008D5AF9" w:rsidRPr="001667DA" w:rsidRDefault="008D5AF9" w:rsidP="008D5AF9">
            <w:pPr>
              <w:rPr>
                <w:i/>
                <w:iCs/>
                <w:sz w:val="24"/>
                <w:szCs w:val="24"/>
                <w:lang w:val="en-US"/>
              </w:rPr>
            </w:pPr>
            <w:r>
              <w:rPr>
                <w:i/>
                <w:iCs/>
                <w:sz w:val="24"/>
                <w:szCs w:val="24"/>
                <w:lang w:val="en-US"/>
              </w:rPr>
              <w:t>Ureaplasma urealyticum</w:t>
            </w:r>
          </w:p>
        </w:tc>
        <w:tc>
          <w:tcPr>
            <w:tcW w:w="2552" w:type="dxa"/>
            <w:tcBorders>
              <w:top w:val="nil"/>
              <w:left w:val="nil"/>
              <w:bottom w:val="nil"/>
              <w:right w:val="nil"/>
            </w:tcBorders>
          </w:tcPr>
          <w:p w:rsidR="008D5AF9" w:rsidRPr="001667DA" w:rsidRDefault="008D5AF9" w:rsidP="008D5AF9">
            <w:pPr>
              <w:rPr>
                <w:sz w:val="24"/>
                <w:szCs w:val="24"/>
                <w:lang w:val="en-US"/>
              </w:rPr>
            </w:pPr>
            <w:r>
              <w:rPr>
                <w:sz w:val="24"/>
                <w:szCs w:val="24"/>
                <w:lang w:val="en-US"/>
              </w:rPr>
              <w:t>Tbl. clarithromycin 500 mg x 2 i 10 dage</w:t>
            </w:r>
          </w:p>
        </w:tc>
        <w:tc>
          <w:tcPr>
            <w:tcW w:w="5398" w:type="dxa"/>
            <w:tcBorders>
              <w:top w:val="nil"/>
              <w:left w:val="nil"/>
              <w:bottom w:val="nil"/>
              <w:right w:val="single" w:sz="4" w:space="0" w:color="auto"/>
            </w:tcBorders>
          </w:tcPr>
          <w:p w:rsidR="008D5AF9" w:rsidRDefault="008D5AF9" w:rsidP="008D5AF9">
            <w:r w:rsidRPr="001667DA">
              <w:t>Samtidig konsekvent anvendelse af kondom i 3 mdr. ved alle former for sex. Herefter ”provokationsforsøg” med partner.</w:t>
            </w:r>
          </w:p>
          <w:p w:rsidR="008D5AF9" w:rsidRDefault="008D5AF9" w:rsidP="008D5AF9">
            <w:r w:rsidRPr="001667DA">
              <w:t>Ved recidiv af symptomer skal behandlingen gentages af indexpatienten samt nu også partnerbehandling (personlig anbefaling SSI</w:t>
            </w:r>
            <w:r w:rsidR="00655A3F">
              <w:t>)</w:t>
            </w:r>
          </w:p>
          <w:p w:rsidR="008D5AF9" w:rsidRPr="001667DA" w:rsidRDefault="008D5AF9" w:rsidP="008D5AF9">
            <w:pPr>
              <w:rPr>
                <w:sz w:val="24"/>
                <w:szCs w:val="24"/>
              </w:rPr>
            </w:pPr>
          </w:p>
        </w:tc>
      </w:tr>
      <w:tr w:rsidR="008D5AF9" w:rsidRPr="001667DA" w:rsidTr="0084387F">
        <w:trPr>
          <w:trHeight w:val="589"/>
        </w:trPr>
        <w:tc>
          <w:tcPr>
            <w:tcW w:w="2830" w:type="dxa"/>
            <w:tcBorders>
              <w:top w:val="nil"/>
              <w:left w:val="single" w:sz="4" w:space="0" w:color="auto"/>
              <w:bottom w:val="single" w:sz="4" w:space="0" w:color="auto"/>
              <w:right w:val="nil"/>
            </w:tcBorders>
          </w:tcPr>
          <w:p w:rsidR="008D5AF9" w:rsidRPr="00373D8F" w:rsidRDefault="008D5AF9" w:rsidP="008D5AF9">
            <w:pPr>
              <w:rPr>
                <w:b/>
                <w:bCs/>
                <w:sz w:val="24"/>
                <w:szCs w:val="24"/>
                <w:lang w:val="en-US"/>
              </w:rPr>
            </w:pPr>
            <w:r w:rsidRPr="00373D8F">
              <w:rPr>
                <w:b/>
                <w:bCs/>
                <w:sz w:val="24"/>
                <w:szCs w:val="24"/>
                <w:lang w:val="en-US"/>
              </w:rPr>
              <w:t>Persisterende non-GK, non-CT, non-Mg, non-UU uretrit</w:t>
            </w:r>
          </w:p>
        </w:tc>
        <w:tc>
          <w:tcPr>
            <w:tcW w:w="2552" w:type="dxa"/>
            <w:tcBorders>
              <w:top w:val="nil"/>
              <w:left w:val="nil"/>
              <w:bottom w:val="single" w:sz="4" w:space="0" w:color="auto"/>
              <w:right w:val="nil"/>
            </w:tcBorders>
          </w:tcPr>
          <w:p w:rsidR="008D5AF9" w:rsidRDefault="008D5AF9" w:rsidP="008D5AF9">
            <w:pPr>
              <w:rPr>
                <w:sz w:val="24"/>
                <w:szCs w:val="24"/>
              </w:rPr>
            </w:pPr>
            <w:r w:rsidRPr="001667DA">
              <w:rPr>
                <w:sz w:val="24"/>
                <w:szCs w:val="24"/>
              </w:rPr>
              <w:t>1. tbl azithromycin 500 mg dag 1, h</w:t>
            </w:r>
            <w:r>
              <w:rPr>
                <w:sz w:val="24"/>
                <w:szCs w:val="24"/>
              </w:rPr>
              <w:t>erefter 250 mg dag 2-5</w:t>
            </w:r>
          </w:p>
          <w:p w:rsidR="008D5AF9" w:rsidRDefault="008D5AF9" w:rsidP="008D5AF9">
            <w:pPr>
              <w:rPr>
                <w:sz w:val="24"/>
                <w:szCs w:val="24"/>
              </w:rPr>
            </w:pPr>
            <w:r>
              <w:rPr>
                <w:sz w:val="24"/>
                <w:szCs w:val="24"/>
              </w:rPr>
              <w:t>plus tbl. metronidazol 500 mg x 2 i 5-7 dage</w:t>
            </w:r>
          </w:p>
          <w:p w:rsidR="008D5AF9" w:rsidRPr="005D735D" w:rsidRDefault="008D5AF9" w:rsidP="008D5AF9">
            <w:pPr>
              <w:rPr>
                <w:sz w:val="24"/>
                <w:szCs w:val="24"/>
              </w:rPr>
            </w:pPr>
            <w:r w:rsidRPr="005D735D">
              <w:rPr>
                <w:sz w:val="24"/>
                <w:szCs w:val="24"/>
              </w:rPr>
              <w:t>2.</w:t>
            </w:r>
            <w:r>
              <w:rPr>
                <w:sz w:val="24"/>
                <w:szCs w:val="24"/>
              </w:rPr>
              <w:t xml:space="preserve"> Evt. tbl. moxifloxacin 400 mg x 2 i 7 dage</w:t>
            </w:r>
          </w:p>
        </w:tc>
        <w:tc>
          <w:tcPr>
            <w:tcW w:w="5398" w:type="dxa"/>
            <w:tcBorders>
              <w:top w:val="nil"/>
              <w:left w:val="nil"/>
              <w:bottom w:val="single" w:sz="4" w:space="0" w:color="auto"/>
              <w:right w:val="single" w:sz="4" w:space="0" w:color="auto"/>
            </w:tcBorders>
          </w:tcPr>
          <w:p w:rsidR="008D5AF9" w:rsidRPr="00A10950" w:rsidRDefault="008D5AF9" w:rsidP="00804FBD">
            <w:pPr>
              <w:pStyle w:val="Ingenafstand"/>
            </w:pPr>
            <w:r w:rsidRPr="00A10950">
              <w:t>Udeluk r</w:t>
            </w:r>
            <w:r w:rsidR="00804FBD">
              <w:t>e</w:t>
            </w:r>
            <w:r w:rsidRPr="00A10950">
              <w:t xml:space="preserve">infektion, prostatit, bækkenbundsmyoser og mekanisk uretrit. </w:t>
            </w:r>
          </w:p>
          <w:p w:rsidR="008D5AF9" w:rsidRPr="001667DA" w:rsidRDefault="008D5AF9" w:rsidP="008D5AF9">
            <w:pPr>
              <w:rPr>
                <w:sz w:val="24"/>
                <w:szCs w:val="24"/>
              </w:rPr>
            </w:pPr>
          </w:p>
        </w:tc>
      </w:tr>
    </w:tbl>
    <w:p w:rsidR="008D5AF9" w:rsidRPr="00A10950" w:rsidRDefault="008D5AF9" w:rsidP="008D5AF9">
      <w:pPr>
        <w:rPr>
          <w:i/>
          <w:iCs/>
        </w:rPr>
      </w:pPr>
      <w:bookmarkStart w:id="10" w:name="_Hlk79747032"/>
      <w:bookmarkEnd w:id="9"/>
      <w:r w:rsidRPr="00A10950">
        <w:t xml:space="preserve">CT, </w:t>
      </w:r>
      <w:r w:rsidRPr="00A10950">
        <w:rPr>
          <w:i/>
          <w:iCs/>
        </w:rPr>
        <w:t xml:space="preserve">Chlamydia trachomatis; </w:t>
      </w:r>
      <w:r w:rsidRPr="00A10950">
        <w:t xml:space="preserve">GK, </w:t>
      </w:r>
      <w:r w:rsidRPr="00A10950">
        <w:rPr>
          <w:i/>
          <w:iCs/>
        </w:rPr>
        <w:t>Neisseria gonorrhoeae;</w:t>
      </w:r>
      <w:r w:rsidRPr="00A10950">
        <w:t xml:space="preserve"> Mg, </w:t>
      </w:r>
      <w:r w:rsidRPr="00A10950">
        <w:rPr>
          <w:i/>
          <w:iCs/>
        </w:rPr>
        <w:t xml:space="preserve">mycoplasma genitalium; </w:t>
      </w:r>
      <w:r w:rsidRPr="00A10950">
        <w:t xml:space="preserve">T. vaginalis, </w:t>
      </w:r>
      <w:r w:rsidRPr="00A10950">
        <w:rPr>
          <w:i/>
          <w:iCs/>
        </w:rPr>
        <w:t xml:space="preserve">Trichomonas vaginalis; </w:t>
      </w:r>
      <w:r w:rsidRPr="00A10950">
        <w:t xml:space="preserve">UU, </w:t>
      </w:r>
      <w:r w:rsidRPr="00A10950">
        <w:rPr>
          <w:i/>
          <w:iCs/>
        </w:rPr>
        <w:t>Ureaplasma urealy</w:t>
      </w:r>
      <w:r>
        <w:rPr>
          <w:i/>
          <w:iCs/>
        </w:rPr>
        <w:t>ticum</w:t>
      </w:r>
    </w:p>
    <w:bookmarkEnd w:id="10"/>
    <w:p w:rsidR="00804FBD" w:rsidRDefault="00804FBD" w:rsidP="008D5AF9">
      <w:pPr>
        <w:rPr>
          <w:sz w:val="24"/>
          <w:szCs w:val="24"/>
        </w:rPr>
      </w:pPr>
    </w:p>
    <w:p w:rsidR="008D5AF9" w:rsidRPr="002F6BFC" w:rsidRDefault="008D5AF9" w:rsidP="008D5AF9">
      <w:pPr>
        <w:rPr>
          <w:sz w:val="24"/>
          <w:szCs w:val="24"/>
        </w:rPr>
      </w:pPr>
      <w:r w:rsidRPr="002F6BFC">
        <w:rPr>
          <w:sz w:val="24"/>
          <w:szCs w:val="24"/>
        </w:rPr>
        <w:t xml:space="preserve">Overvejelser ved persisterende symptomer: </w:t>
      </w:r>
    </w:p>
    <w:p w:rsidR="008D5AF9" w:rsidRPr="00EB45C8" w:rsidRDefault="008D5AF9" w:rsidP="0084387F">
      <w:pPr>
        <w:pStyle w:val="Listeafsnit"/>
        <w:rPr>
          <w:sz w:val="24"/>
          <w:szCs w:val="24"/>
        </w:rPr>
      </w:pPr>
      <w:r w:rsidRPr="00EB45C8">
        <w:rPr>
          <w:sz w:val="24"/>
          <w:szCs w:val="24"/>
        </w:rPr>
        <w:t>Ved anamnese som udøvende part i analt samleje skal E. coli overvejes.</w:t>
      </w:r>
    </w:p>
    <w:p w:rsidR="008D5AF9" w:rsidRPr="00EB45C8" w:rsidRDefault="008D5AF9" w:rsidP="0084387F">
      <w:pPr>
        <w:pStyle w:val="Listeafsnit"/>
        <w:rPr>
          <w:sz w:val="24"/>
          <w:szCs w:val="24"/>
        </w:rPr>
      </w:pPr>
      <w:r w:rsidRPr="00EB45C8">
        <w:rPr>
          <w:sz w:val="24"/>
          <w:szCs w:val="24"/>
        </w:rPr>
        <w:t>Compliance, ny partner, ikke-infektiøs årsag?</w:t>
      </w:r>
    </w:p>
    <w:p w:rsidR="008D5AF9" w:rsidRPr="00EB45C8" w:rsidRDefault="008D5AF9" w:rsidP="0084387F">
      <w:pPr>
        <w:pStyle w:val="Listeafsnit"/>
        <w:rPr>
          <w:sz w:val="24"/>
          <w:szCs w:val="24"/>
        </w:rPr>
      </w:pPr>
      <w:r w:rsidRPr="00EB45C8">
        <w:rPr>
          <w:sz w:val="24"/>
          <w:szCs w:val="24"/>
        </w:rPr>
        <w:t>Patienten kan efter behandling for uretrit have irritative gener og derfor kan nye undersøgelser med fordel udskydes et par uger.</w:t>
      </w:r>
    </w:p>
    <w:p w:rsidR="008D5AF9" w:rsidRPr="00EB45C8" w:rsidRDefault="008D5AF9" w:rsidP="0084387F">
      <w:pPr>
        <w:pStyle w:val="Listeafsnit"/>
        <w:rPr>
          <w:sz w:val="24"/>
          <w:szCs w:val="24"/>
        </w:rPr>
      </w:pPr>
      <w:r w:rsidRPr="00EB45C8">
        <w:rPr>
          <w:sz w:val="24"/>
          <w:szCs w:val="24"/>
        </w:rPr>
        <w:t>Endelig bør patienter med persisterende uretritgener og negative undersøgelser og manglende effekt af behandling henvises til second opinion i urologisk regi.</w:t>
      </w:r>
    </w:p>
    <w:p w:rsidR="008D5AF9" w:rsidRPr="00EB45C8" w:rsidRDefault="008D5AF9" w:rsidP="0084387F">
      <w:pPr>
        <w:pStyle w:val="Listeafsnit"/>
        <w:rPr>
          <w:sz w:val="24"/>
          <w:szCs w:val="24"/>
        </w:rPr>
      </w:pPr>
      <w:r>
        <w:rPr>
          <w:sz w:val="24"/>
          <w:szCs w:val="24"/>
        </w:rPr>
        <w:t>Ved uændrede gener, trods ovenstående</w:t>
      </w:r>
      <w:r w:rsidRPr="00EB45C8">
        <w:rPr>
          <w:sz w:val="24"/>
          <w:szCs w:val="24"/>
        </w:rPr>
        <w:t>,</w:t>
      </w:r>
      <w:r w:rsidR="0084387F">
        <w:rPr>
          <w:sz w:val="24"/>
          <w:szCs w:val="24"/>
        </w:rPr>
        <w:t xml:space="preserve"> </w:t>
      </w:r>
      <w:r>
        <w:rPr>
          <w:sz w:val="24"/>
          <w:szCs w:val="24"/>
        </w:rPr>
        <w:t>kan det</w:t>
      </w:r>
      <w:r w:rsidRPr="00EB45C8">
        <w:rPr>
          <w:sz w:val="24"/>
          <w:szCs w:val="24"/>
        </w:rPr>
        <w:t xml:space="preserve"> dreje sig om et uretralt syndrom med dysæstesi. Her kan behandling med fx Lyrica overvejes.</w:t>
      </w:r>
      <w:r>
        <w:rPr>
          <w:sz w:val="24"/>
          <w:szCs w:val="24"/>
        </w:rPr>
        <w:t xml:space="preserve"> </w:t>
      </w:r>
    </w:p>
    <w:p w:rsidR="008D5AF9" w:rsidRPr="00EB45C8" w:rsidRDefault="008D5AF9" w:rsidP="008D5AF9">
      <w:pPr>
        <w:rPr>
          <w:sz w:val="24"/>
          <w:szCs w:val="24"/>
        </w:rPr>
      </w:pPr>
    </w:p>
    <w:p w:rsidR="008D5AF9" w:rsidRPr="002F6BFC" w:rsidRDefault="008D5AF9" w:rsidP="008D5AF9">
      <w:pPr>
        <w:rPr>
          <w:sz w:val="24"/>
          <w:szCs w:val="24"/>
        </w:rPr>
      </w:pPr>
    </w:p>
    <w:p w:rsidR="00804FBD" w:rsidRDefault="00804FBD" w:rsidP="008D5AF9">
      <w:pPr>
        <w:pStyle w:val="Overskrift2"/>
        <w:rPr>
          <w:rFonts w:asciiTheme="minorHAnsi" w:hAnsiTheme="minorHAnsi" w:cstheme="minorHAnsi"/>
          <w:sz w:val="28"/>
          <w:szCs w:val="28"/>
        </w:rPr>
      </w:pPr>
    </w:p>
    <w:p w:rsidR="00804FBD" w:rsidRPr="00804FBD" w:rsidRDefault="00804FBD" w:rsidP="00804FBD"/>
    <w:p w:rsidR="00804FBD" w:rsidRDefault="00804FBD" w:rsidP="008D5AF9">
      <w:pPr>
        <w:pStyle w:val="Overskrift2"/>
        <w:rPr>
          <w:rFonts w:asciiTheme="minorHAnsi" w:hAnsiTheme="minorHAnsi" w:cstheme="minorHAnsi"/>
          <w:sz w:val="28"/>
          <w:szCs w:val="28"/>
        </w:rPr>
      </w:pPr>
    </w:p>
    <w:p w:rsidR="00804FBD" w:rsidRDefault="00804FBD" w:rsidP="008D5AF9">
      <w:pPr>
        <w:pStyle w:val="Overskrift2"/>
        <w:rPr>
          <w:rFonts w:asciiTheme="minorHAnsi" w:hAnsiTheme="minorHAnsi" w:cstheme="minorHAnsi"/>
          <w:sz w:val="28"/>
          <w:szCs w:val="28"/>
        </w:rPr>
      </w:pPr>
    </w:p>
    <w:p w:rsidR="00804FBD" w:rsidRDefault="00804FBD" w:rsidP="008D5AF9">
      <w:pPr>
        <w:pStyle w:val="Overskrift2"/>
        <w:rPr>
          <w:rFonts w:asciiTheme="minorHAnsi" w:hAnsiTheme="minorHAnsi" w:cstheme="minorHAnsi"/>
          <w:sz w:val="28"/>
          <w:szCs w:val="28"/>
        </w:rPr>
      </w:pPr>
    </w:p>
    <w:p w:rsidR="00804FBD" w:rsidRDefault="00804FBD" w:rsidP="008D5AF9">
      <w:pPr>
        <w:pStyle w:val="Overskrift2"/>
        <w:rPr>
          <w:rFonts w:asciiTheme="minorHAnsi" w:hAnsiTheme="minorHAnsi" w:cstheme="minorHAnsi"/>
          <w:sz w:val="28"/>
          <w:szCs w:val="28"/>
        </w:rPr>
      </w:pPr>
    </w:p>
    <w:p w:rsidR="00804FBD" w:rsidRDefault="00804FBD" w:rsidP="008D5AF9">
      <w:pPr>
        <w:pStyle w:val="Overskrift2"/>
        <w:rPr>
          <w:rFonts w:asciiTheme="minorHAnsi" w:hAnsiTheme="minorHAnsi" w:cstheme="minorHAnsi"/>
          <w:sz w:val="28"/>
          <w:szCs w:val="28"/>
        </w:rPr>
      </w:pPr>
    </w:p>
    <w:p w:rsidR="00804FBD" w:rsidRDefault="00804FBD" w:rsidP="008D5AF9">
      <w:pPr>
        <w:pStyle w:val="Overskrift2"/>
        <w:rPr>
          <w:rFonts w:asciiTheme="minorHAnsi" w:hAnsiTheme="minorHAnsi" w:cstheme="minorHAnsi"/>
          <w:sz w:val="28"/>
          <w:szCs w:val="28"/>
        </w:rPr>
      </w:pPr>
    </w:p>
    <w:p w:rsidR="00804FBD" w:rsidRDefault="00804FBD" w:rsidP="008D5AF9">
      <w:pPr>
        <w:pStyle w:val="Overskrift2"/>
        <w:rPr>
          <w:rFonts w:asciiTheme="minorHAnsi" w:hAnsiTheme="minorHAnsi" w:cstheme="minorHAnsi"/>
          <w:sz w:val="28"/>
          <w:szCs w:val="28"/>
        </w:rPr>
      </w:pPr>
    </w:p>
    <w:p w:rsidR="00804FBD" w:rsidRDefault="00804FBD" w:rsidP="008D5AF9">
      <w:pPr>
        <w:pStyle w:val="Overskrift2"/>
        <w:rPr>
          <w:rFonts w:asciiTheme="minorHAnsi" w:hAnsiTheme="minorHAnsi" w:cstheme="minorHAnsi"/>
          <w:sz w:val="28"/>
          <w:szCs w:val="28"/>
        </w:rPr>
      </w:pPr>
    </w:p>
    <w:p w:rsidR="00804FBD" w:rsidRDefault="00804FBD" w:rsidP="008D5AF9">
      <w:pPr>
        <w:pStyle w:val="Overskrift2"/>
        <w:rPr>
          <w:rFonts w:asciiTheme="minorHAnsi" w:hAnsiTheme="minorHAnsi" w:cstheme="minorHAnsi"/>
          <w:sz w:val="28"/>
          <w:szCs w:val="28"/>
        </w:rPr>
      </w:pPr>
    </w:p>
    <w:p w:rsidR="00804FBD" w:rsidRDefault="00804FBD" w:rsidP="008D5AF9">
      <w:pPr>
        <w:pStyle w:val="Overskrift2"/>
        <w:rPr>
          <w:rFonts w:asciiTheme="minorHAnsi" w:hAnsiTheme="minorHAnsi" w:cstheme="minorHAnsi"/>
          <w:sz w:val="28"/>
          <w:szCs w:val="28"/>
        </w:rPr>
      </w:pPr>
    </w:p>
    <w:p w:rsidR="00804FBD" w:rsidRDefault="00804FBD" w:rsidP="008D5AF9">
      <w:pPr>
        <w:pStyle w:val="Overskrift2"/>
        <w:rPr>
          <w:rFonts w:asciiTheme="minorHAnsi" w:hAnsiTheme="minorHAnsi" w:cstheme="minorHAnsi"/>
          <w:sz w:val="28"/>
          <w:szCs w:val="28"/>
        </w:rPr>
      </w:pPr>
    </w:p>
    <w:p w:rsidR="00804FBD" w:rsidRDefault="00804FBD" w:rsidP="008D5AF9">
      <w:pPr>
        <w:pStyle w:val="Overskrift2"/>
        <w:rPr>
          <w:rFonts w:asciiTheme="minorHAnsi" w:hAnsiTheme="minorHAnsi" w:cstheme="minorHAnsi"/>
          <w:sz w:val="28"/>
          <w:szCs w:val="28"/>
        </w:rPr>
      </w:pPr>
    </w:p>
    <w:p w:rsidR="00804FBD" w:rsidRDefault="00804FBD" w:rsidP="008D5AF9">
      <w:pPr>
        <w:pStyle w:val="Overskrift2"/>
        <w:rPr>
          <w:rFonts w:asciiTheme="minorHAnsi" w:hAnsiTheme="minorHAnsi" w:cstheme="minorHAnsi"/>
          <w:sz w:val="28"/>
          <w:szCs w:val="28"/>
        </w:rPr>
      </w:pPr>
    </w:p>
    <w:p w:rsidR="00804FBD" w:rsidRDefault="00804FBD" w:rsidP="008D5AF9">
      <w:pPr>
        <w:pStyle w:val="Overskrift2"/>
        <w:rPr>
          <w:rFonts w:asciiTheme="minorHAnsi" w:hAnsiTheme="minorHAnsi" w:cstheme="minorHAnsi"/>
          <w:sz w:val="28"/>
          <w:szCs w:val="28"/>
        </w:rPr>
      </w:pPr>
    </w:p>
    <w:p w:rsidR="00804FBD" w:rsidRDefault="00804FBD" w:rsidP="008D5AF9">
      <w:pPr>
        <w:pStyle w:val="Overskrift2"/>
        <w:rPr>
          <w:rFonts w:asciiTheme="minorHAnsi" w:hAnsiTheme="minorHAnsi" w:cstheme="minorHAnsi"/>
          <w:sz w:val="28"/>
          <w:szCs w:val="28"/>
        </w:rPr>
      </w:pPr>
    </w:p>
    <w:p w:rsidR="00804FBD" w:rsidRDefault="00804FBD" w:rsidP="008D5AF9">
      <w:pPr>
        <w:pStyle w:val="Overskrift2"/>
        <w:rPr>
          <w:rFonts w:asciiTheme="minorHAnsi" w:hAnsiTheme="minorHAnsi" w:cstheme="minorHAnsi"/>
          <w:sz w:val="28"/>
          <w:szCs w:val="28"/>
        </w:rPr>
      </w:pPr>
    </w:p>
    <w:p w:rsidR="00804FBD" w:rsidRPr="00804FBD" w:rsidRDefault="00804FBD" w:rsidP="00804FBD"/>
    <w:p w:rsidR="008D5AF9" w:rsidRPr="005B1D59" w:rsidRDefault="008D5AF9" w:rsidP="008D5AF9">
      <w:pPr>
        <w:pStyle w:val="Overskrift2"/>
        <w:rPr>
          <w:rFonts w:asciiTheme="minorHAnsi" w:hAnsiTheme="minorHAnsi" w:cstheme="minorHAnsi"/>
          <w:sz w:val="28"/>
          <w:szCs w:val="28"/>
        </w:rPr>
      </w:pPr>
      <w:bookmarkStart w:id="11" w:name="_Toc86222542"/>
      <w:r w:rsidRPr="005B1D59">
        <w:rPr>
          <w:rFonts w:asciiTheme="minorHAnsi" w:hAnsiTheme="minorHAnsi" w:cstheme="minorHAnsi"/>
          <w:sz w:val="28"/>
          <w:szCs w:val="28"/>
        </w:rPr>
        <w:t>Seksuelt overførbare infektioner der giver sår</w:t>
      </w:r>
      <w:bookmarkEnd w:id="11"/>
    </w:p>
    <w:p w:rsidR="008D5AF9" w:rsidRPr="002F6BFC" w:rsidRDefault="008D5AF9" w:rsidP="008D5AF9">
      <w:pPr>
        <w:rPr>
          <w:sz w:val="24"/>
          <w:szCs w:val="24"/>
        </w:rPr>
      </w:pPr>
    </w:p>
    <w:p w:rsidR="008D5AF9" w:rsidRPr="002F6BFC" w:rsidRDefault="008D5AF9" w:rsidP="008D5AF9">
      <w:pPr>
        <w:rPr>
          <w:sz w:val="24"/>
          <w:szCs w:val="24"/>
        </w:rPr>
      </w:pPr>
      <w:r w:rsidRPr="002F6BFC">
        <w:rPr>
          <w:sz w:val="24"/>
          <w:szCs w:val="24"/>
        </w:rPr>
        <w:t xml:space="preserve">Genitale sår, </w:t>
      </w:r>
      <w:r>
        <w:rPr>
          <w:sz w:val="24"/>
          <w:szCs w:val="24"/>
        </w:rPr>
        <w:t xml:space="preserve">som led i </w:t>
      </w:r>
      <w:r w:rsidRPr="002F6BFC">
        <w:rPr>
          <w:sz w:val="24"/>
          <w:szCs w:val="24"/>
        </w:rPr>
        <w:t>SOI, kan udover de mere klassiske præsentationer også præsentere sig atypiske. Det er vist at den kliniske vurdering kun stemmer overens med paraklinikken hos under 60% for primær syfilis, herpes genitalis, lymfogranuloma venereum samt ulcus molle</w:t>
      </w:r>
      <w:r>
        <w:rPr>
          <w:sz w:val="24"/>
          <w:szCs w:val="24"/>
        </w:rPr>
        <w:t xml:space="preserve"> </w:t>
      </w:r>
      <w:r>
        <w:rPr>
          <w:noProof/>
          <w:sz w:val="24"/>
          <w:szCs w:val="24"/>
        </w:rPr>
        <w:t>(27)</w:t>
      </w:r>
      <w:r>
        <w:rPr>
          <w:sz w:val="24"/>
          <w:szCs w:val="24"/>
        </w:rPr>
        <w:t xml:space="preserve">. </w:t>
      </w:r>
      <w:r w:rsidRPr="002F6BFC">
        <w:rPr>
          <w:sz w:val="24"/>
          <w:szCs w:val="24"/>
        </w:rPr>
        <w:t xml:space="preserve">Det er derfor vigtigt med en risikovurdering; </w:t>
      </w:r>
      <w:r>
        <w:rPr>
          <w:sz w:val="24"/>
          <w:szCs w:val="24"/>
        </w:rPr>
        <w:t xml:space="preserve">herunder </w:t>
      </w:r>
      <w:r w:rsidRPr="002F6BFC">
        <w:rPr>
          <w:sz w:val="24"/>
          <w:szCs w:val="24"/>
        </w:rPr>
        <w:t>rejseanamnese, seksuel orientering, tidligere SOI historik også hos partner, samt inkubationstider.</w:t>
      </w:r>
    </w:p>
    <w:p w:rsidR="008D5AF9" w:rsidRPr="002F6BFC" w:rsidRDefault="008D5AF9" w:rsidP="008D5AF9">
      <w:pPr>
        <w:rPr>
          <w:sz w:val="24"/>
          <w:szCs w:val="24"/>
        </w:rPr>
      </w:pPr>
    </w:p>
    <w:tbl>
      <w:tblPr>
        <w:tblStyle w:val="Tabel-Gitter"/>
        <w:tblW w:w="10511" w:type="dxa"/>
        <w:tblLook w:val="04A0" w:firstRow="1" w:lastRow="0" w:firstColumn="1" w:lastColumn="0" w:noHBand="0" w:noVBand="1"/>
      </w:tblPr>
      <w:tblGrid>
        <w:gridCol w:w="1816"/>
        <w:gridCol w:w="2367"/>
        <w:gridCol w:w="227"/>
        <w:gridCol w:w="2372"/>
        <w:gridCol w:w="1950"/>
        <w:gridCol w:w="1779"/>
      </w:tblGrid>
      <w:tr w:rsidR="008D5AF9" w:rsidRPr="002F6BFC" w:rsidTr="0084387F">
        <w:trPr>
          <w:trHeight w:val="576"/>
        </w:trPr>
        <w:tc>
          <w:tcPr>
            <w:tcW w:w="10511" w:type="dxa"/>
            <w:gridSpan w:val="6"/>
            <w:tcBorders>
              <w:bottom w:val="single" w:sz="4" w:space="0" w:color="auto"/>
            </w:tcBorders>
          </w:tcPr>
          <w:p w:rsidR="008D5AF9" w:rsidRPr="00804FBD" w:rsidRDefault="008D5AF9" w:rsidP="008D5AF9">
            <w:pPr>
              <w:rPr>
                <w:sz w:val="24"/>
                <w:szCs w:val="24"/>
              </w:rPr>
            </w:pPr>
            <w:r w:rsidRPr="00804FBD">
              <w:rPr>
                <w:b/>
                <w:bCs/>
                <w:sz w:val="24"/>
                <w:szCs w:val="24"/>
              </w:rPr>
              <w:t xml:space="preserve">Tabel 6                 </w:t>
            </w:r>
            <w:r w:rsidRPr="00804FBD">
              <w:rPr>
                <w:sz w:val="24"/>
                <w:szCs w:val="24"/>
              </w:rPr>
              <w:t xml:space="preserve"> Udredning af anogenitale sår</w:t>
            </w:r>
          </w:p>
        </w:tc>
      </w:tr>
      <w:tr w:rsidR="008D5AF9" w:rsidRPr="002F6BFC" w:rsidTr="0084387F">
        <w:trPr>
          <w:trHeight w:val="272"/>
        </w:trPr>
        <w:tc>
          <w:tcPr>
            <w:tcW w:w="1816" w:type="dxa"/>
            <w:tcBorders>
              <w:top w:val="single" w:sz="4" w:space="0" w:color="auto"/>
              <w:left w:val="single" w:sz="4" w:space="0" w:color="auto"/>
              <w:bottom w:val="single" w:sz="4" w:space="0" w:color="auto"/>
              <w:right w:val="nil"/>
            </w:tcBorders>
          </w:tcPr>
          <w:p w:rsidR="008D5AF9" w:rsidRPr="00804FBD" w:rsidRDefault="008D5AF9" w:rsidP="008D5AF9">
            <w:pPr>
              <w:rPr>
                <w:sz w:val="24"/>
                <w:szCs w:val="24"/>
              </w:rPr>
            </w:pPr>
            <w:r w:rsidRPr="00804FBD">
              <w:rPr>
                <w:sz w:val="24"/>
                <w:szCs w:val="24"/>
              </w:rPr>
              <w:t>Symptom</w:t>
            </w:r>
          </w:p>
        </w:tc>
        <w:tc>
          <w:tcPr>
            <w:tcW w:w="8694" w:type="dxa"/>
            <w:gridSpan w:val="5"/>
            <w:tcBorders>
              <w:top w:val="single" w:sz="4" w:space="0" w:color="auto"/>
              <w:left w:val="nil"/>
              <w:bottom w:val="single" w:sz="4" w:space="0" w:color="auto"/>
              <w:right w:val="single" w:sz="4" w:space="0" w:color="auto"/>
            </w:tcBorders>
          </w:tcPr>
          <w:p w:rsidR="008D5AF9" w:rsidRPr="00804FBD" w:rsidRDefault="008D5AF9" w:rsidP="008D5AF9">
            <w:pPr>
              <w:rPr>
                <w:b/>
                <w:bCs/>
                <w:sz w:val="24"/>
                <w:szCs w:val="24"/>
              </w:rPr>
            </w:pPr>
            <w:r w:rsidRPr="00804FBD">
              <w:rPr>
                <w:sz w:val="24"/>
                <w:szCs w:val="24"/>
              </w:rPr>
              <w:t xml:space="preserve">     </w:t>
            </w:r>
            <w:r w:rsidRPr="00804FBD">
              <w:rPr>
                <w:b/>
                <w:bCs/>
                <w:sz w:val="24"/>
                <w:szCs w:val="24"/>
              </w:rPr>
              <w:t xml:space="preserve">Herpes                           </w:t>
            </w:r>
            <w:r w:rsidRPr="00804FBD">
              <w:rPr>
                <w:sz w:val="24"/>
                <w:szCs w:val="24"/>
              </w:rPr>
              <w:t xml:space="preserve"> </w:t>
            </w:r>
            <w:r w:rsidRPr="00804FBD">
              <w:rPr>
                <w:b/>
                <w:bCs/>
                <w:sz w:val="24"/>
                <w:szCs w:val="24"/>
              </w:rPr>
              <w:t>Syfilis                                    Sjældne i DK                Ikke veneriske</w:t>
            </w:r>
          </w:p>
          <w:p w:rsidR="008D5AF9" w:rsidRPr="00804FBD" w:rsidRDefault="008D5AF9" w:rsidP="008D5AF9">
            <w:pPr>
              <w:rPr>
                <w:sz w:val="24"/>
                <w:szCs w:val="24"/>
              </w:rPr>
            </w:pPr>
          </w:p>
        </w:tc>
      </w:tr>
      <w:tr w:rsidR="008D5AF9" w:rsidRPr="002F6BFC" w:rsidTr="0084387F">
        <w:trPr>
          <w:trHeight w:val="1153"/>
        </w:trPr>
        <w:tc>
          <w:tcPr>
            <w:tcW w:w="1816" w:type="dxa"/>
            <w:tcBorders>
              <w:top w:val="single" w:sz="4" w:space="0" w:color="auto"/>
              <w:left w:val="single" w:sz="4" w:space="0" w:color="auto"/>
              <w:bottom w:val="nil"/>
              <w:right w:val="nil"/>
            </w:tcBorders>
          </w:tcPr>
          <w:p w:rsidR="008D5AF9" w:rsidRPr="00804FBD" w:rsidRDefault="008D5AF9" w:rsidP="008D5AF9">
            <w:pPr>
              <w:rPr>
                <w:sz w:val="24"/>
                <w:szCs w:val="24"/>
              </w:rPr>
            </w:pPr>
            <w:r w:rsidRPr="00804FBD">
              <w:rPr>
                <w:sz w:val="24"/>
                <w:szCs w:val="24"/>
              </w:rPr>
              <w:t>Overvejelser</w:t>
            </w:r>
          </w:p>
        </w:tc>
        <w:tc>
          <w:tcPr>
            <w:tcW w:w="2594" w:type="dxa"/>
            <w:gridSpan w:val="2"/>
            <w:tcBorders>
              <w:top w:val="single" w:sz="4" w:space="0" w:color="auto"/>
              <w:left w:val="nil"/>
              <w:bottom w:val="nil"/>
              <w:right w:val="nil"/>
            </w:tcBorders>
          </w:tcPr>
          <w:p w:rsidR="008D5AF9" w:rsidRPr="00804FBD" w:rsidRDefault="008D5AF9" w:rsidP="00804FBD">
            <w:pPr>
              <w:pStyle w:val="Ingenafstand"/>
              <w:rPr>
                <w:sz w:val="24"/>
                <w:szCs w:val="24"/>
              </w:rPr>
            </w:pPr>
            <w:r w:rsidRPr="00804FBD">
              <w:rPr>
                <w:sz w:val="24"/>
                <w:szCs w:val="24"/>
              </w:rPr>
              <w:t>Blærer, små sår, smerter, recidiverende</w:t>
            </w:r>
          </w:p>
        </w:tc>
        <w:tc>
          <w:tcPr>
            <w:tcW w:w="2372" w:type="dxa"/>
            <w:tcBorders>
              <w:top w:val="single" w:sz="4" w:space="0" w:color="auto"/>
              <w:left w:val="nil"/>
              <w:bottom w:val="nil"/>
              <w:right w:val="nil"/>
            </w:tcBorders>
          </w:tcPr>
          <w:p w:rsidR="008D5AF9" w:rsidRPr="00804FBD" w:rsidRDefault="008D5AF9" w:rsidP="00804FBD">
            <w:pPr>
              <w:pStyle w:val="Ingenafstand"/>
              <w:rPr>
                <w:sz w:val="24"/>
                <w:szCs w:val="24"/>
              </w:rPr>
            </w:pPr>
            <w:r w:rsidRPr="00804FBD">
              <w:rPr>
                <w:sz w:val="24"/>
                <w:szCs w:val="24"/>
              </w:rPr>
              <w:t>MSM, udland, oftest uømme sår, svinder spontant</w:t>
            </w:r>
          </w:p>
        </w:tc>
        <w:tc>
          <w:tcPr>
            <w:tcW w:w="1950" w:type="dxa"/>
            <w:tcBorders>
              <w:top w:val="single" w:sz="4" w:space="0" w:color="auto"/>
              <w:left w:val="nil"/>
              <w:bottom w:val="nil"/>
              <w:right w:val="nil"/>
            </w:tcBorders>
          </w:tcPr>
          <w:p w:rsidR="008D5AF9" w:rsidRPr="00804FBD" w:rsidRDefault="00804FBD" w:rsidP="00804FBD">
            <w:pPr>
              <w:pStyle w:val="Ingenafstand"/>
              <w:rPr>
                <w:sz w:val="24"/>
                <w:szCs w:val="24"/>
              </w:rPr>
            </w:pPr>
            <w:r w:rsidRPr="00804FBD">
              <w:rPr>
                <w:sz w:val="24"/>
                <w:szCs w:val="24"/>
              </w:rPr>
              <w:t>L</w:t>
            </w:r>
            <w:r w:rsidR="008D5AF9" w:rsidRPr="00804FBD">
              <w:rPr>
                <w:sz w:val="24"/>
                <w:szCs w:val="24"/>
              </w:rPr>
              <w:t>GV</w:t>
            </w:r>
          </w:p>
          <w:p w:rsidR="008D5AF9" w:rsidRPr="00804FBD" w:rsidRDefault="008D5AF9" w:rsidP="00804FBD">
            <w:pPr>
              <w:pStyle w:val="Ingenafstand"/>
              <w:rPr>
                <w:sz w:val="24"/>
                <w:szCs w:val="24"/>
              </w:rPr>
            </w:pPr>
            <w:r w:rsidRPr="00804FBD">
              <w:rPr>
                <w:sz w:val="24"/>
                <w:szCs w:val="24"/>
              </w:rPr>
              <w:t>Ulcus molle</w:t>
            </w:r>
          </w:p>
        </w:tc>
        <w:tc>
          <w:tcPr>
            <w:tcW w:w="1776" w:type="dxa"/>
            <w:tcBorders>
              <w:top w:val="single" w:sz="4" w:space="0" w:color="auto"/>
              <w:left w:val="nil"/>
              <w:bottom w:val="nil"/>
              <w:right w:val="single" w:sz="4" w:space="0" w:color="auto"/>
            </w:tcBorders>
          </w:tcPr>
          <w:p w:rsidR="008D5AF9" w:rsidRPr="00804FBD" w:rsidRDefault="008D5AF9" w:rsidP="00804FBD">
            <w:pPr>
              <w:pStyle w:val="Ingenafstand"/>
              <w:rPr>
                <w:sz w:val="24"/>
                <w:szCs w:val="24"/>
              </w:rPr>
            </w:pPr>
            <w:r w:rsidRPr="00804FBD">
              <w:rPr>
                <w:sz w:val="24"/>
                <w:szCs w:val="24"/>
              </w:rPr>
              <w:t>Traumatiske</w:t>
            </w:r>
          </w:p>
          <w:p w:rsidR="008D5AF9" w:rsidRPr="00804FBD" w:rsidRDefault="008D5AF9" w:rsidP="00804FBD">
            <w:pPr>
              <w:pStyle w:val="Ingenafstand"/>
              <w:rPr>
                <w:sz w:val="24"/>
                <w:szCs w:val="24"/>
              </w:rPr>
            </w:pPr>
            <w:r w:rsidRPr="00804FBD">
              <w:rPr>
                <w:sz w:val="24"/>
                <w:szCs w:val="24"/>
              </w:rPr>
              <w:t>Maligne</w:t>
            </w:r>
          </w:p>
        </w:tc>
      </w:tr>
      <w:tr w:rsidR="008D5AF9" w:rsidRPr="002F6BFC" w:rsidTr="0084387F">
        <w:trPr>
          <w:trHeight w:val="1153"/>
        </w:trPr>
        <w:tc>
          <w:tcPr>
            <w:tcW w:w="1816" w:type="dxa"/>
            <w:tcBorders>
              <w:top w:val="nil"/>
              <w:left w:val="single" w:sz="4" w:space="0" w:color="auto"/>
              <w:bottom w:val="nil"/>
              <w:right w:val="nil"/>
            </w:tcBorders>
          </w:tcPr>
          <w:p w:rsidR="008D5AF9" w:rsidRPr="00804FBD" w:rsidRDefault="008D5AF9" w:rsidP="008D5AF9">
            <w:pPr>
              <w:rPr>
                <w:sz w:val="24"/>
                <w:szCs w:val="24"/>
              </w:rPr>
            </w:pPr>
            <w:r w:rsidRPr="00804FBD">
              <w:rPr>
                <w:sz w:val="24"/>
                <w:szCs w:val="24"/>
              </w:rPr>
              <w:t>Udredning</w:t>
            </w:r>
          </w:p>
        </w:tc>
        <w:tc>
          <w:tcPr>
            <w:tcW w:w="2594" w:type="dxa"/>
            <w:gridSpan w:val="2"/>
            <w:tcBorders>
              <w:top w:val="nil"/>
              <w:left w:val="nil"/>
              <w:bottom w:val="nil"/>
              <w:right w:val="nil"/>
            </w:tcBorders>
          </w:tcPr>
          <w:p w:rsidR="008D5AF9" w:rsidRPr="00804FBD" w:rsidRDefault="008D5AF9" w:rsidP="008D5AF9">
            <w:pPr>
              <w:rPr>
                <w:sz w:val="24"/>
                <w:szCs w:val="24"/>
              </w:rPr>
            </w:pPr>
            <w:r w:rsidRPr="00804FBD">
              <w:rPr>
                <w:sz w:val="24"/>
                <w:szCs w:val="24"/>
              </w:rPr>
              <w:t>Podning til PCR</w:t>
            </w:r>
          </w:p>
        </w:tc>
        <w:tc>
          <w:tcPr>
            <w:tcW w:w="2372" w:type="dxa"/>
            <w:tcBorders>
              <w:top w:val="nil"/>
              <w:left w:val="nil"/>
              <w:bottom w:val="nil"/>
              <w:right w:val="nil"/>
            </w:tcBorders>
          </w:tcPr>
          <w:p w:rsidR="008D5AF9" w:rsidRPr="00804FBD" w:rsidRDefault="008D5AF9" w:rsidP="00804FBD">
            <w:pPr>
              <w:pStyle w:val="Ingenafstand"/>
              <w:rPr>
                <w:sz w:val="24"/>
                <w:szCs w:val="24"/>
              </w:rPr>
            </w:pPr>
            <w:r w:rsidRPr="00804FBD">
              <w:rPr>
                <w:sz w:val="24"/>
                <w:szCs w:val="24"/>
              </w:rPr>
              <w:t>Podning til TP PCR</w:t>
            </w:r>
          </w:p>
          <w:p w:rsidR="008D5AF9" w:rsidRPr="00804FBD" w:rsidRDefault="008D5AF9" w:rsidP="00804FBD">
            <w:pPr>
              <w:pStyle w:val="Ingenafstand"/>
              <w:rPr>
                <w:sz w:val="24"/>
                <w:szCs w:val="24"/>
              </w:rPr>
            </w:pPr>
            <w:r w:rsidRPr="00804FBD">
              <w:rPr>
                <w:sz w:val="24"/>
                <w:szCs w:val="24"/>
              </w:rPr>
              <w:t>Mørkefeltsmikroskopi</w:t>
            </w:r>
          </w:p>
          <w:p w:rsidR="008D5AF9" w:rsidRPr="00804FBD" w:rsidRDefault="008D5AF9" w:rsidP="00804FBD">
            <w:pPr>
              <w:pStyle w:val="Ingenafstand"/>
              <w:rPr>
                <w:sz w:val="24"/>
                <w:szCs w:val="24"/>
              </w:rPr>
            </w:pPr>
            <w:r w:rsidRPr="00804FBD">
              <w:rPr>
                <w:sz w:val="24"/>
                <w:szCs w:val="24"/>
              </w:rPr>
              <w:t>Serologi</w:t>
            </w:r>
          </w:p>
        </w:tc>
        <w:tc>
          <w:tcPr>
            <w:tcW w:w="1950" w:type="dxa"/>
            <w:tcBorders>
              <w:top w:val="nil"/>
              <w:left w:val="nil"/>
              <w:bottom w:val="nil"/>
              <w:right w:val="nil"/>
            </w:tcBorders>
          </w:tcPr>
          <w:p w:rsidR="008D5AF9" w:rsidRPr="00804FBD" w:rsidRDefault="008D5AF9" w:rsidP="008D5AF9">
            <w:pPr>
              <w:rPr>
                <w:sz w:val="24"/>
                <w:szCs w:val="24"/>
              </w:rPr>
            </w:pPr>
            <w:r w:rsidRPr="00804FBD">
              <w:rPr>
                <w:sz w:val="24"/>
                <w:szCs w:val="24"/>
              </w:rPr>
              <w:t>Podning til PCR, SSI</w:t>
            </w:r>
          </w:p>
        </w:tc>
        <w:tc>
          <w:tcPr>
            <w:tcW w:w="1776" w:type="dxa"/>
            <w:tcBorders>
              <w:top w:val="nil"/>
              <w:left w:val="nil"/>
              <w:bottom w:val="nil"/>
              <w:right w:val="single" w:sz="4" w:space="0" w:color="auto"/>
            </w:tcBorders>
          </w:tcPr>
          <w:p w:rsidR="008D5AF9" w:rsidRPr="00804FBD" w:rsidRDefault="008D5AF9" w:rsidP="00804FBD">
            <w:pPr>
              <w:pStyle w:val="Ingenafstand"/>
              <w:rPr>
                <w:sz w:val="24"/>
                <w:szCs w:val="24"/>
              </w:rPr>
            </w:pPr>
            <w:r w:rsidRPr="00804FBD">
              <w:rPr>
                <w:sz w:val="24"/>
                <w:szCs w:val="24"/>
              </w:rPr>
              <w:t>Anamnese</w:t>
            </w:r>
          </w:p>
          <w:p w:rsidR="008D5AF9" w:rsidRPr="00804FBD" w:rsidRDefault="008D5AF9" w:rsidP="00804FBD">
            <w:pPr>
              <w:pStyle w:val="Ingenafstand"/>
              <w:rPr>
                <w:sz w:val="24"/>
                <w:szCs w:val="24"/>
              </w:rPr>
            </w:pPr>
            <w:r w:rsidRPr="00804FBD">
              <w:rPr>
                <w:sz w:val="24"/>
                <w:szCs w:val="24"/>
              </w:rPr>
              <w:t>Biopsi</w:t>
            </w:r>
          </w:p>
        </w:tc>
      </w:tr>
      <w:tr w:rsidR="008D5AF9" w:rsidRPr="002F6BFC" w:rsidTr="0084387F">
        <w:trPr>
          <w:trHeight w:val="1153"/>
        </w:trPr>
        <w:tc>
          <w:tcPr>
            <w:tcW w:w="1816" w:type="dxa"/>
            <w:tcBorders>
              <w:top w:val="nil"/>
              <w:left w:val="single" w:sz="4" w:space="0" w:color="auto"/>
              <w:bottom w:val="nil"/>
              <w:right w:val="nil"/>
            </w:tcBorders>
          </w:tcPr>
          <w:p w:rsidR="008D5AF9" w:rsidRPr="00804FBD" w:rsidRDefault="008D5AF9" w:rsidP="008D5AF9">
            <w:pPr>
              <w:rPr>
                <w:sz w:val="24"/>
                <w:szCs w:val="24"/>
              </w:rPr>
            </w:pPr>
            <w:r w:rsidRPr="00804FBD">
              <w:rPr>
                <w:sz w:val="24"/>
                <w:szCs w:val="24"/>
              </w:rPr>
              <w:t>Behandling</w:t>
            </w:r>
          </w:p>
        </w:tc>
        <w:tc>
          <w:tcPr>
            <w:tcW w:w="2594" w:type="dxa"/>
            <w:gridSpan w:val="2"/>
            <w:tcBorders>
              <w:top w:val="nil"/>
              <w:left w:val="nil"/>
              <w:bottom w:val="nil"/>
              <w:right w:val="nil"/>
            </w:tcBorders>
          </w:tcPr>
          <w:p w:rsidR="008D5AF9" w:rsidRPr="00804FBD" w:rsidRDefault="008D5AF9" w:rsidP="00804FBD">
            <w:pPr>
              <w:pStyle w:val="Ingenafstand"/>
              <w:rPr>
                <w:sz w:val="24"/>
                <w:szCs w:val="24"/>
              </w:rPr>
            </w:pPr>
            <w:r w:rsidRPr="00804FBD">
              <w:rPr>
                <w:sz w:val="24"/>
                <w:szCs w:val="24"/>
              </w:rPr>
              <w:t>Valaciclovir</w:t>
            </w:r>
          </w:p>
          <w:p w:rsidR="008D5AF9" w:rsidRPr="00804FBD" w:rsidRDefault="008D5AF9" w:rsidP="00804FBD">
            <w:pPr>
              <w:pStyle w:val="Ingenafstand"/>
              <w:rPr>
                <w:sz w:val="24"/>
                <w:szCs w:val="24"/>
              </w:rPr>
            </w:pPr>
            <w:r w:rsidRPr="00804FBD">
              <w:rPr>
                <w:sz w:val="24"/>
                <w:szCs w:val="24"/>
              </w:rPr>
              <w:t>Primær: 1 g x 2 i 10 d</w:t>
            </w:r>
          </w:p>
          <w:p w:rsidR="008D5AF9" w:rsidRPr="00804FBD" w:rsidRDefault="008D5AF9" w:rsidP="00804FBD">
            <w:pPr>
              <w:pStyle w:val="Ingenafstand"/>
              <w:rPr>
                <w:sz w:val="24"/>
                <w:szCs w:val="24"/>
              </w:rPr>
            </w:pPr>
            <w:r w:rsidRPr="00804FBD">
              <w:rPr>
                <w:sz w:val="24"/>
                <w:szCs w:val="24"/>
              </w:rPr>
              <w:t>Recidiv: 500 mg x 2 i 5 d</w:t>
            </w:r>
          </w:p>
          <w:p w:rsidR="008D5AF9" w:rsidRPr="00804FBD" w:rsidRDefault="008D5AF9" w:rsidP="00804FBD">
            <w:pPr>
              <w:pStyle w:val="Ingenafstand"/>
              <w:rPr>
                <w:sz w:val="24"/>
                <w:szCs w:val="24"/>
              </w:rPr>
            </w:pPr>
            <w:r w:rsidRPr="00804FBD">
              <w:rPr>
                <w:sz w:val="24"/>
                <w:szCs w:val="24"/>
              </w:rPr>
              <w:t xml:space="preserve">Profylakse: 500 mg x 1 </w:t>
            </w:r>
          </w:p>
        </w:tc>
        <w:tc>
          <w:tcPr>
            <w:tcW w:w="2372" w:type="dxa"/>
            <w:tcBorders>
              <w:top w:val="nil"/>
              <w:left w:val="nil"/>
              <w:bottom w:val="nil"/>
              <w:right w:val="nil"/>
            </w:tcBorders>
          </w:tcPr>
          <w:p w:rsidR="008D5AF9" w:rsidRPr="00804FBD" w:rsidRDefault="008D5AF9" w:rsidP="00804FBD">
            <w:pPr>
              <w:pStyle w:val="Ingenafstand"/>
              <w:rPr>
                <w:sz w:val="24"/>
                <w:szCs w:val="24"/>
              </w:rPr>
            </w:pPr>
            <w:r w:rsidRPr="00804FBD">
              <w:rPr>
                <w:sz w:val="24"/>
                <w:szCs w:val="24"/>
              </w:rPr>
              <w:t>Venerologisk afdeling</w:t>
            </w:r>
          </w:p>
          <w:p w:rsidR="00804FBD" w:rsidRDefault="008D5AF9" w:rsidP="00804FBD">
            <w:pPr>
              <w:pStyle w:val="Ingenafstand"/>
              <w:rPr>
                <w:sz w:val="24"/>
                <w:szCs w:val="24"/>
              </w:rPr>
            </w:pPr>
            <w:r w:rsidRPr="00804FBD">
              <w:rPr>
                <w:sz w:val="24"/>
                <w:szCs w:val="24"/>
              </w:rPr>
              <w:t xml:space="preserve">Benzathinpenicillin 2.4 MIE i.m. </w:t>
            </w:r>
          </w:p>
          <w:p w:rsidR="008D5AF9" w:rsidRPr="00804FBD" w:rsidRDefault="008D5AF9" w:rsidP="00804FBD">
            <w:pPr>
              <w:pStyle w:val="Ingenafstand"/>
              <w:rPr>
                <w:sz w:val="24"/>
                <w:szCs w:val="24"/>
              </w:rPr>
            </w:pPr>
            <w:r w:rsidRPr="00804FBD">
              <w:rPr>
                <w:sz w:val="24"/>
                <w:szCs w:val="24"/>
              </w:rPr>
              <w:t>eller</w:t>
            </w:r>
          </w:p>
          <w:p w:rsidR="008D5AF9" w:rsidRPr="00804FBD" w:rsidRDefault="008D5AF9" w:rsidP="00804FBD">
            <w:pPr>
              <w:pStyle w:val="Ingenafstand"/>
              <w:rPr>
                <w:sz w:val="24"/>
                <w:szCs w:val="24"/>
              </w:rPr>
            </w:pPr>
            <w:r w:rsidRPr="00804FBD">
              <w:rPr>
                <w:sz w:val="24"/>
                <w:szCs w:val="24"/>
              </w:rPr>
              <w:t>Doxycyklin 100 mg x 2 i 14 d</w:t>
            </w:r>
          </w:p>
          <w:p w:rsidR="00804FBD" w:rsidRPr="00804FBD" w:rsidRDefault="00804FBD" w:rsidP="00804FBD">
            <w:pPr>
              <w:pStyle w:val="Ingenafstand"/>
              <w:rPr>
                <w:sz w:val="24"/>
                <w:szCs w:val="24"/>
              </w:rPr>
            </w:pPr>
          </w:p>
        </w:tc>
        <w:tc>
          <w:tcPr>
            <w:tcW w:w="1950" w:type="dxa"/>
            <w:tcBorders>
              <w:top w:val="nil"/>
              <w:left w:val="nil"/>
              <w:bottom w:val="nil"/>
              <w:right w:val="nil"/>
            </w:tcBorders>
          </w:tcPr>
          <w:p w:rsidR="008D5AF9" w:rsidRPr="00804FBD" w:rsidRDefault="008D5AF9" w:rsidP="00804FBD">
            <w:pPr>
              <w:pStyle w:val="Ingenafstand"/>
              <w:rPr>
                <w:sz w:val="24"/>
                <w:szCs w:val="24"/>
              </w:rPr>
            </w:pPr>
            <w:r w:rsidRPr="00804FBD">
              <w:rPr>
                <w:sz w:val="24"/>
                <w:szCs w:val="24"/>
              </w:rPr>
              <w:t>Venerologisk afd.</w:t>
            </w:r>
          </w:p>
          <w:p w:rsidR="008D5AF9" w:rsidRPr="00804FBD" w:rsidRDefault="008D5AF9" w:rsidP="00804FBD">
            <w:pPr>
              <w:pStyle w:val="Ingenafstand"/>
              <w:rPr>
                <w:sz w:val="24"/>
                <w:szCs w:val="24"/>
              </w:rPr>
            </w:pPr>
            <w:r w:rsidRPr="00804FBD">
              <w:rPr>
                <w:sz w:val="24"/>
                <w:szCs w:val="24"/>
              </w:rPr>
              <w:t>se tabel 9</w:t>
            </w:r>
          </w:p>
        </w:tc>
        <w:tc>
          <w:tcPr>
            <w:tcW w:w="1776" w:type="dxa"/>
            <w:tcBorders>
              <w:top w:val="nil"/>
              <w:left w:val="nil"/>
              <w:bottom w:val="nil"/>
              <w:right w:val="single" w:sz="4" w:space="0" w:color="auto"/>
            </w:tcBorders>
          </w:tcPr>
          <w:p w:rsidR="008D5AF9" w:rsidRPr="00804FBD" w:rsidRDefault="008D5AF9" w:rsidP="008D5AF9">
            <w:pPr>
              <w:rPr>
                <w:sz w:val="24"/>
                <w:szCs w:val="24"/>
              </w:rPr>
            </w:pPr>
          </w:p>
        </w:tc>
      </w:tr>
      <w:tr w:rsidR="008D5AF9" w:rsidRPr="002F6BFC" w:rsidTr="0084387F">
        <w:trPr>
          <w:trHeight w:val="1153"/>
        </w:trPr>
        <w:tc>
          <w:tcPr>
            <w:tcW w:w="1816" w:type="dxa"/>
            <w:tcBorders>
              <w:top w:val="nil"/>
              <w:left w:val="single" w:sz="4" w:space="0" w:color="auto"/>
              <w:bottom w:val="single" w:sz="4" w:space="0" w:color="auto"/>
              <w:right w:val="nil"/>
            </w:tcBorders>
          </w:tcPr>
          <w:p w:rsidR="008D5AF9" w:rsidRPr="00804FBD" w:rsidRDefault="008D5AF9" w:rsidP="008D5AF9">
            <w:pPr>
              <w:rPr>
                <w:sz w:val="24"/>
                <w:szCs w:val="24"/>
              </w:rPr>
            </w:pPr>
            <w:r w:rsidRPr="00804FBD">
              <w:rPr>
                <w:sz w:val="24"/>
                <w:szCs w:val="24"/>
              </w:rPr>
              <w:t>Kontrol</w:t>
            </w:r>
          </w:p>
        </w:tc>
        <w:tc>
          <w:tcPr>
            <w:tcW w:w="2367" w:type="dxa"/>
            <w:tcBorders>
              <w:top w:val="nil"/>
              <w:left w:val="nil"/>
              <w:bottom w:val="single" w:sz="4" w:space="0" w:color="auto"/>
              <w:right w:val="nil"/>
            </w:tcBorders>
          </w:tcPr>
          <w:p w:rsidR="008D5AF9" w:rsidRPr="00804FBD" w:rsidRDefault="008D5AF9" w:rsidP="008D5AF9">
            <w:pPr>
              <w:rPr>
                <w:sz w:val="24"/>
                <w:szCs w:val="24"/>
              </w:rPr>
            </w:pPr>
            <w:r w:rsidRPr="00804FBD">
              <w:rPr>
                <w:sz w:val="24"/>
                <w:szCs w:val="24"/>
              </w:rPr>
              <w:t>Ingen</w:t>
            </w:r>
          </w:p>
        </w:tc>
        <w:tc>
          <w:tcPr>
            <w:tcW w:w="2599" w:type="dxa"/>
            <w:gridSpan w:val="2"/>
            <w:tcBorders>
              <w:top w:val="nil"/>
              <w:left w:val="nil"/>
              <w:bottom w:val="single" w:sz="4" w:space="0" w:color="auto"/>
              <w:right w:val="nil"/>
            </w:tcBorders>
          </w:tcPr>
          <w:p w:rsidR="00804FBD" w:rsidRPr="00804FBD" w:rsidRDefault="00804FBD" w:rsidP="00804FBD">
            <w:pPr>
              <w:pStyle w:val="Ingenafstand"/>
              <w:rPr>
                <w:sz w:val="24"/>
                <w:szCs w:val="24"/>
              </w:rPr>
            </w:pPr>
            <w:r w:rsidRPr="00804FBD">
              <w:rPr>
                <w:sz w:val="24"/>
                <w:szCs w:val="24"/>
              </w:rPr>
              <w:t xml:space="preserve">    </w:t>
            </w:r>
            <w:r w:rsidR="008D5AF9" w:rsidRPr="00804FBD">
              <w:rPr>
                <w:sz w:val="24"/>
                <w:szCs w:val="24"/>
              </w:rPr>
              <w:t xml:space="preserve">Non-treponemal </w:t>
            </w:r>
          </w:p>
          <w:p w:rsidR="00804FBD" w:rsidRDefault="00804FBD" w:rsidP="00804FBD">
            <w:pPr>
              <w:pStyle w:val="Ingenafstand"/>
              <w:rPr>
                <w:sz w:val="24"/>
                <w:szCs w:val="24"/>
              </w:rPr>
            </w:pPr>
            <w:r w:rsidRPr="00804FBD">
              <w:rPr>
                <w:sz w:val="24"/>
                <w:szCs w:val="24"/>
              </w:rPr>
              <w:t xml:space="preserve">    </w:t>
            </w:r>
            <w:r>
              <w:rPr>
                <w:sz w:val="24"/>
                <w:szCs w:val="24"/>
              </w:rPr>
              <w:t>Serologi e</w:t>
            </w:r>
            <w:r w:rsidRPr="00804FBD">
              <w:rPr>
                <w:sz w:val="24"/>
                <w:szCs w:val="24"/>
              </w:rPr>
              <w:t>fter 3, 6 o</w:t>
            </w:r>
            <w:r>
              <w:rPr>
                <w:sz w:val="24"/>
                <w:szCs w:val="24"/>
              </w:rPr>
              <w:t>g</w:t>
            </w:r>
          </w:p>
          <w:p w:rsidR="008D5AF9" w:rsidRPr="00804FBD" w:rsidRDefault="00804FBD" w:rsidP="00804FBD">
            <w:pPr>
              <w:pStyle w:val="Ingenafstand"/>
              <w:rPr>
                <w:sz w:val="24"/>
                <w:szCs w:val="24"/>
              </w:rPr>
            </w:pPr>
            <w:r>
              <w:rPr>
                <w:sz w:val="24"/>
                <w:szCs w:val="24"/>
              </w:rPr>
              <w:t xml:space="preserve">    12 måneder  </w:t>
            </w:r>
            <w:r w:rsidRPr="00804FBD">
              <w:rPr>
                <w:sz w:val="24"/>
                <w:szCs w:val="24"/>
              </w:rPr>
              <w:t xml:space="preserve">        </w:t>
            </w:r>
            <w:r w:rsidR="008D5AF9" w:rsidRPr="00804FBD">
              <w:rPr>
                <w:sz w:val="24"/>
                <w:szCs w:val="24"/>
              </w:rPr>
              <w:t xml:space="preserve"> </w:t>
            </w:r>
          </w:p>
        </w:tc>
        <w:tc>
          <w:tcPr>
            <w:tcW w:w="1950" w:type="dxa"/>
            <w:tcBorders>
              <w:top w:val="nil"/>
              <w:left w:val="nil"/>
              <w:bottom w:val="single" w:sz="4" w:space="0" w:color="auto"/>
              <w:right w:val="nil"/>
            </w:tcBorders>
          </w:tcPr>
          <w:p w:rsidR="008D5AF9" w:rsidRPr="00804FBD" w:rsidRDefault="00804FBD" w:rsidP="00804FBD">
            <w:pPr>
              <w:pStyle w:val="Ingenafstand"/>
              <w:rPr>
                <w:sz w:val="24"/>
                <w:szCs w:val="24"/>
              </w:rPr>
            </w:pPr>
            <w:r>
              <w:rPr>
                <w:sz w:val="24"/>
                <w:szCs w:val="24"/>
              </w:rPr>
              <w:t>Klinisk kontrol efter 4 uger</w:t>
            </w:r>
          </w:p>
        </w:tc>
        <w:tc>
          <w:tcPr>
            <w:tcW w:w="1776" w:type="dxa"/>
            <w:tcBorders>
              <w:top w:val="nil"/>
              <w:left w:val="nil"/>
              <w:bottom w:val="single" w:sz="4" w:space="0" w:color="auto"/>
              <w:right w:val="single" w:sz="4" w:space="0" w:color="auto"/>
            </w:tcBorders>
          </w:tcPr>
          <w:p w:rsidR="008D5AF9" w:rsidRPr="00804FBD" w:rsidRDefault="008D5AF9" w:rsidP="008D5AF9">
            <w:pPr>
              <w:rPr>
                <w:sz w:val="24"/>
                <w:szCs w:val="24"/>
              </w:rPr>
            </w:pPr>
          </w:p>
        </w:tc>
      </w:tr>
    </w:tbl>
    <w:p w:rsidR="008D5AF9" w:rsidRPr="009778C9" w:rsidRDefault="008D5AF9" w:rsidP="008D5AF9">
      <w:r w:rsidRPr="009778C9">
        <w:t>d, dage; LGV, lymfogranuloma venereum; MIE, millioner internationale enheder; PCR, polymerase chain reaction; SSI, Statens Serum Institut;TP, treponema pallidum</w:t>
      </w:r>
    </w:p>
    <w:p w:rsidR="008D5AF9" w:rsidRPr="002F6BFC" w:rsidRDefault="008D5AF9" w:rsidP="008D5AF9">
      <w:pPr>
        <w:rPr>
          <w:sz w:val="24"/>
          <w:szCs w:val="24"/>
        </w:rPr>
      </w:pPr>
    </w:p>
    <w:p w:rsidR="0084387F" w:rsidRDefault="0084387F" w:rsidP="008D5AF9">
      <w:pPr>
        <w:pStyle w:val="Overskrift3"/>
        <w:rPr>
          <w:rFonts w:asciiTheme="minorHAnsi" w:hAnsiTheme="minorHAnsi" w:cstheme="minorHAnsi"/>
          <w:sz w:val="28"/>
          <w:szCs w:val="28"/>
        </w:rPr>
      </w:pPr>
      <w:bookmarkStart w:id="12" w:name="_Toc86222543"/>
    </w:p>
    <w:p w:rsidR="0084387F" w:rsidRDefault="0084387F" w:rsidP="008D5AF9">
      <w:pPr>
        <w:pStyle w:val="Overskrift3"/>
        <w:rPr>
          <w:rFonts w:asciiTheme="minorHAnsi" w:hAnsiTheme="minorHAnsi" w:cstheme="minorHAnsi"/>
          <w:sz w:val="28"/>
          <w:szCs w:val="28"/>
        </w:rPr>
      </w:pPr>
    </w:p>
    <w:p w:rsidR="008D5AF9" w:rsidRPr="005B1D59" w:rsidRDefault="008D5AF9" w:rsidP="008D5AF9">
      <w:pPr>
        <w:pStyle w:val="Overskrift3"/>
        <w:rPr>
          <w:rFonts w:asciiTheme="minorHAnsi" w:hAnsiTheme="minorHAnsi" w:cstheme="minorHAnsi"/>
          <w:sz w:val="28"/>
          <w:szCs w:val="28"/>
        </w:rPr>
      </w:pPr>
      <w:r w:rsidRPr="005B1D59">
        <w:rPr>
          <w:rFonts w:asciiTheme="minorHAnsi" w:hAnsiTheme="minorHAnsi" w:cstheme="minorHAnsi"/>
          <w:sz w:val="28"/>
          <w:szCs w:val="28"/>
        </w:rPr>
        <w:t>Herpes genitalis</w:t>
      </w:r>
      <w:bookmarkEnd w:id="12"/>
    </w:p>
    <w:p w:rsidR="008D5AF9" w:rsidRPr="002F6BFC" w:rsidRDefault="008D5AF9" w:rsidP="008D5AF9">
      <w:pPr>
        <w:pStyle w:val="Ingenafstand"/>
        <w:rPr>
          <w:i/>
          <w:iCs/>
          <w:sz w:val="24"/>
          <w:szCs w:val="24"/>
        </w:rPr>
      </w:pPr>
      <w:r w:rsidRPr="002F6BFC">
        <w:rPr>
          <w:sz w:val="24"/>
          <w:szCs w:val="24"/>
        </w:rPr>
        <w:tab/>
      </w:r>
    </w:p>
    <w:p w:rsidR="008D5AF9" w:rsidRDefault="008D5AF9" w:rsidP="008D5AF9">
      <w:pPr>
        <w:pStyle w:val="Ingenafstand"/>
        <w:rPr>
          <w:b/>
          <w:bCs/>
          <w:sz w:val="24"/>
          <w:szCs w:val="24"/>
        </w:rPr>
      </w:pPr>
      <w:r w:rsidRPr="00EB45C8">
        <w:rPr>
          <w:b/>
          <w:bCs/>
          <w:sz w:val="24"/>
          <w:szCs w:val="24"/>
        </w:rPr>
        <w:t>Baggrund og epidemiologi</w:t>
      </w:r>
    </w:p>
    <w:p w:rsidR="008D5AF9" w:rsidRPr="00EB45C8" w:rsidRDefault="008D5AF9" w:rsidP="008D5AF9">
      <w:pPr>
        <w:pStyle w:val="Ingenafstand"/>
        <w:rPr>
          <w:sz w:val="24"/>
          <w:szCs w:val="24"/>
        </w:rPr>
      </w:pPr>
    </w:p>
    <w:p w:rsidR="008D5AF9" w:rsidRPr="00EB45C8" w:rsidRDefault="008D5AF9" w:rsidP="008D5AF9">
      <w:pPr>
        <w:rPr>
          <w:sz w:val="24"/>
          <w:szCs w:val="24"/>
        </w:rPr>
      </w:pPr>
      <w:r w:rsidRPr="00EB45C8">
        <w:rPr>
          <w:sz w:val="24"/>
          <w:szCs w:val="24"/>
        </w:rPr>
        <w:t>Herpes simplex virus (HSV) type 1 eller 2. Ca. 80% af voksne har antistoffer mod HSV-1 og 20% mod HSV-2</w:t>
      </w:r>
      <w:r>
        <w:rPr>
          <w:sz w:val="24"/>
          <w:szCs w:val="24"/>
        </w:rPr>
        <w:t xml:space="preserve"> </w:t>
      </w:r>
      <w:r>
        <w:rPr>
          <w:noProof/>
          <w:sz w:val="24"/>
          <w:szCs w:val="24"/>
        </w:rPr>
        <w:t>(28)</w:t>
      </w:r>
      <w:r w:rsidRPr="00EB45C8">
        <w:rPr>
          <w:sz w:val="24"/>
          <w:szCs w:val="24"/>
        </w:rPr>
        <w:t>. Orogenital kontakt med en partner med type 1 herpes labialis kan være årsag til herpes genitalis. Inkubationstiden er 4-7 dage.</w:t>
      </w:r>
    </w:p>
    <w:p w:rsidR="008D5AF9" w:rsidRPr="00EB45C8" w:rsidRDefault="008D5AF9" w:rsidP="008D5AF9">
      <w:pPr>
        <w:rPr>
          <w:b/>
          <w:bCs/>
          <w:sz w:val="24"/>
          <w:szCs w:val="24"/>
        </w:rPr>
      </w:pPr>
      <w:r w:rsidRPr="00EB45C8">
        <w:rPr>
          <w:b/>
          <w:bCs/>
          <w:sz w:val="24"/>
          <w:szCs w:val="24"/>
        </w:rPr>
        <w:t>Symptomer</w:t>
      </w:r>
    </w:p>
    <w:p w:rsidR="008D5AF9" w:rsidRPr="00EB45C8" w:rsidRDefault="008D5AF9" w:rsidP="008D5AF9">
      <w:pPr>
        <w:rPr>
          <w:sz w:val="24"/>
          <w:szCs w:val="24"/>
        </w:rPr>
      </w:pPr>
      <w:r w:rsidRPr="00EB45C8">
        <w:rPr>
          <w:sz w:val="24"/>
          <w:szCs w:val="24"/>
        </w:rPr>
        <w:t xml:space="preserve">Ca. 1/3 har en symptomatisk primær infektion. Grupperede blærer, som udvikles til smertende ulcerationer. Evt. hævede lokale ømme lymfeknuder </w:t>
      </w:r>
      <w:r>
        <w:rPr>
          <w:noProof/>
          <w:sz w:val="24"/>
          <w:szCs w:val="24"/>
        </w:rPr>
        <w:t>(28)</w:t>
      </w:r>
      <w:r w:rsidRPr="00EB45C8">
        <w:rPr>
          <w:sz w:val="24"/>
          <w:szCs w:val="24"/>
        </w:rPr>
        <w:t xml:space="preserve">. Førstegangsinfektion kan give almensymptomer. Ved recidiverende herpes </w:t>
      </w:r>
      <w:r w:rsidR="0084387F">
        <w:rPr>
          <w:sz w:val="24"/>
          <w:szCs w:val="24"/>
        </w:rPr>
        <w:t xml:space="preserve">ses </w:t>
      </w:r>
      <w:r w:rsidRPr="00EB45C8">
        <w:rPr>
          <w:sz w:val="24"/>
          <w:szCs w:val="24"/>
        </w:rPr>
        <w:t>mildere symptomer og kortere varighed</w:t>
      </w:r>
      <w:r w:rsidR="0084387F">
        <w:rPr>
          <w:sz w:val="24"/>
          <w:szCs w:val="24"/>
        </w:rPr>
        <w:t xml:space="preserve"> af udbrud</w:t>
      </w:r>
      <w:r w:rsidRPr="00EB45C8">
        <w:rPr>
          <w:sz w:val="24"/>
          <w:szCs w:val="24"/>
        </w:rPr>
        <w:t>. Evt. prodromal</w:t>
      </w:r>
      <w:r>
        <w:rPr>
          <w:sz w:val="24"/>
          <w:szCs w:val="24"/>
        </w:rPr>
        <w:t xml:space="preserve"> </w:t>
      </w:r>
      <w:r w:rsidRPr="00EB45C8">
        <w:rPr>
          <w:sz w:val="24"/>
          <w:szCs w:val="24"/>
        </w:rPr>
        <w:t>symptomer</w:t>
      </w:r>
      <w:r>
        <w:rPr>
          <w:sz w:val="24"/>
          <w:szCs w:val="24"/>
        </w:rPr>
        <w:t xml:space="preserve"> med</w:t>
      </w:r>
      <w:r w:rsidRPr="00EB45C8">
        <w:rPr>
          <w:sz w:val="24"/>
          <w:szCs w:val="24"/>
        </w:rPr>
        <w:t xml:space="preserve"> brændende, stikkende </w:t>
      </w:r>
      <w:r>
        <w:rPr>
          <w:sz w:val="24"/>
          <w:szCs w:val="24"/>
        </w:rPr>
        <w:t>fornemmelse i huden</w:t>
      </w:r>
      <w:r w:rsidRPr="00EB45C8">
        <w:rPr>
          <w:sz w:val="24"/>
          <w:szCs w:val="24"/>
        </w:rPr>
        <w:t xml:space="preserve"> 1-2 døgn før debut af blærer. Infektion med HSV-2 medfører større risiko for recidiv. Risikoen for neonatal herpes er stor hos børn født af mødre med primært udbrud af herpes. Hos børn født af kvinder med recidivudbrud er risikoen for smitte derimod meget lille</w:t>
      </w:r>
      <w:r>
        <w:rPr>
          <w:sz w:val="24"/>
          <w:szCs w:val="24"/>
        </w:rPr>
        <w:t xml:space="preserve"> </w:t>
      </w:r>
      <w:r>
        <w:rPr>
          <w:noProof/>
          <w:sz w:val="24"/>
          <w:szCs w:val="24"/>
        </w:rPr>
        <w:t>(29)</w:t>
      </w:r>
      <w:r w:rsidRPr="00EB45C8">
        <w:rPr>
          <w:sz w:val="24"/>
          <w:szCs w:val="24"/>
        </w:rPr>
        <w:t>.</w:t>
      </w:r>
    </w:p>
    <w:p w:rsidR="008D5AF9" w:rsidRPr="00EB45C8" w:rsidRDefault="008D5AF9" w:rsidP="008D5AF9">
      <w:pPr>
        <w:rPr>
          <w:sz w:val="24"/>
          <w:szCs w:val="24"/>
        </w:rPr>
      </w:pPr>
      <w:r w:rsidRPr="00EB45C8">
        <w:rPr>
          <w:sz w:val="24"/>
          <w:szCs w:val="24"/>
        </w:rPr>
        <w:t>Anogenital herpes infektion kan præsentere sig atypisk, f.eks. i form af recidiverende fissurer og især hos immunsupprimerede patienter</w:t>
      </w:r>
      <w:r w:rsidR="0084387F">
        <w:rPr>
          <w:sz w:val="24"/>
          <w:szCs w:val="24"/>
        </w:rPr>
        <w:t>,</w:t>
      </w:r>
      <w:r w:rsidRPr="00EB45C8">
        <w:rPr>
          <w:sz w:val="24"/>
          <w:szCs w:val="24"/>
        </w:rPr>
        <w:t xml:space="preserve"> som kroniske sårdannelser eller hypertrofiske læsioner </w:t>
      </w:r>
      <w:r>
        <w:rPr>
          <w:noProof/>
          <w:sz w:val="24"/>
          <w:szCs w:val="24"/>
        </w:rPr>
        <w:t>(28, 30)</w:t>
      </w:r>
      <w:r w:rsidRPr="00EB45C8">
        <w:rPr>
          <w:sz w:val="24"/>
          <w:szCs w:val="24"/>
        </w:rPr>
        <w:t>. Kroniske herpessår er også anført at kunne ses i forbindelse med immun rekonstitutions</w:t>
      </w:r>
      <w:r w:rsidR="00682D70">
        <w:rPr>
          <w:sz w:val="24"/>
          <w:szCs w:val="24"/>
        </w:rPr>
        <w:t xml:space="preserve"> </w:t>
      </w:r>
      <w:r w:rsidRPr="00EB45C8">
        <w:rPr>
          <w:sz w:val="24"/>
          <w:szCs w:val="24"/>
        </w:rPr>
        <w:t xml:space="preserve"> inflammatorisk syndrom ved </w:t>
      </w:r>
      <w:r w:rsidR="0084387F">
        <w:rPr>
          <w:sz w:val="24"/>
          <w:szCs w:val="24"/>
        </w:rPr>
        <w:t>HIV-</w:t>
      </w:r>
      <w:r w:rsidRPr="00EB45C8">
        <w:rPr>
          <w:sz w:val="24"/>
          <w:szCs w:val="24"/>
        </w:rPr>
        <w:t xml:space="preserve">infektion </w:t>
      </w:r>
      <w:r>
        <w:rPr>
          <w:noProof/>
          <w:sz w:val="24"/>
          <w:szCs w:val="24"/>
        </w:rPr>
        <w:t>(28)</w:t>
      </w:r>
      <w:r w:rsidRPr="00EB45C8">
        <w:rPr>
          <w:sz w:val="24"/>
          <w:szCs w:val="24"/>
        </w:rPr>
        <w:t>.</w:t>
      </w:r>
    </w:p>
    <w:p w:rsidR="008D5AF9" w:rsidRPr="007570EB" w:rsidRDefault="008D5AF9" w:rsidP="008D5AF9">
      <w:pPr>
        <w:rPr>
          <w:b/>
          <w:bCs/>
          <w:sz w:val="24"/>
          <w:szCs w:val="24"/>
        </w:rPr>
      </w:pPr>
      <w:r w:rsidRPr="007570EB">
        <w:rPr>
          <w:b/>
          <w:bCs/>
          <w:sz w:val="24"/>
          <w:szCs w:val="24"/>
        </w:rPr>
        <w:t>Diagnostik</w:t>
      </w:r>
    </w:p>
    <w:p w:rsidR="008D5AF9" w:rsidRPr="00EB45C8" w:rsidRDefault="008D5AF9" w:rsidP="008D5AF9">
      <w:pPr>
        <w:rPr>
          <w:sz w:val="24"/>
          <w:szCs w:val="24"/>
        </w:rPr>
      </w:pPr>
      <w:r w:rsidRPr="00EB45C8">
        <w:rPr>
          <w:sz w:val="24"/>
          <w:szCs w:val="24"/>
        </w:rPr>
        <w:t>Podning til HSV PCR</w:t>
      </w:r>
      <w:r>
        <w:rPr>
          <w:sz w:val="24"/>
          <w:szCs w:val="24"/>
        </w:rPr>
        <w:t>-</w:t>
      </w:r>
      <w:r w:rsidRPr="00EB45C8">
        <w:rPr>
          <w:sz w:val="24"/>
          <w:szCs w:val="24"/>
        </w:rPr>
        <w:t xml:space="preserve">undersøgelse fra blærer, som punkteres, eller fra sår. Påvisning af latent infektion serologisk i form af specifikke antistoffer er kun relevant hos enkelte, f.eks. gravide med ukendt status, hvis partner har herpes </w:t>
      </w:r>
      <w:r>
        <w:rPr>
          <w:noProof/>
          <w:sz w:val="24"/>
          <w:szCs w:val="24"/>
        </w:rPr>
        <w:t>(28)</w:t>
      </w:r>
      <w:r w:rsidRPr="00EB45C8">
        <w:rPr>
          <w:sz w:val="24"/>
          <w:szCs w:val="24"/>
        </w:rPr>
        <w:t>.</w:t>
      </w:r>
    </w:p>
    <w:p w:rsidR="008D5AF9" w:rsidRPr="007570EB" w:rsidRDefault="008D5AF9" w:rsidP="008D5AF9">
      <w:pPr>
        <w:rPr>
          <w:b/>
          <w:bCs/>
          <w:sz w:val="24"/>
          <w:szCs w:val="24"/>
        </w:rPr>
      </w:pPr>
      <w:r w:rsidRPr="007570EB">
        <w:rPr>
          <w:b/>
          <w:bCs/>
          <w:sz w:val="24"/>
          <w:szCs w:val="24"/>
        </w:rPr>
        <w:t>Behandling</w:t>
      </w:r>
    </w:p>
    <w:p w:rsidR="008D5AF9" w:rsidRDefault="008D5AF9" w:rsidP="008D5AF9">
      <w:pPr>
        <w:rPr>
          <w:sz w:val="24"/>
          <w:szCs w:val="24"/>
        </w:rPr>
      </w:pPr>
      <w:r>
        <w:rPr>
          <w:sz w:val="24"/>
          <w:szCs w:val="24"/>
        </w:rPr>
        <w:t xml:space="preserve">Se tabel 7. </w:t>
      </w:r>
      <w:r w:rsidRPr="00EB45C8">
        <w:rPr>
          <w:sz w:val="24"/>
          <w:szCs w:val="24"/>
        </w:rPr>
        <w:t>Systemisk behandling afkorter udbrud og nedsætter sværhedsgraden. Begynd behandlingen så tidligt som muligt, helst inden for 24 timer. Ved primær herpes genitalis kan behandlingen påbegyndes indenfor 5 døgn eller så</w:t>
      </w:r>
      <w:r>
        <w:rPr>
          <w:sz w:val="24"/>
          <w:szCs w:val="24"/>
        </w:rPr>
        <w:t xml:space="preserve"> l</w:t>
      </w:r>
      <w:r w:rsidRPr="00EB45C8">
        <w:rPr>
          <w:sz w:val="24"/>
          <w:szCs w:val="24"/>
        </w:rPr>
        <w:t>ænge der er frembrud af nye vesikler</w:t>
      </w:r>
      <w:r>
        <w:rPr>
          <w:sz w:val="24"/>
          <w:szCs w:val="24"/>
        </w:rPr>
        <w:t xml:space="preserve"> </w:t>
      </w:r>
      <w:r>
        <w:rPr>
          <w:noProof/>
          <w:sz w:val="24"/>
          <w:szCs w:val="24"/>
        </w:rPr>
        <w:t>(28)</w:t>
      </w:r>
      <w:r w:rsidRPr="00EB45C8">
        <w:rPr>
          <w:sz w:val="24"/>
          <w:szCs w:val="24"/>
        </w:rPr>
        <w:t>.</w:t>
      </w:r>
    </w:p>
    <w:p w:rsidR="008D5AF9" w:rsidRPr="00410DC7" w:rsidRDefault="008D5AF9" w:rsidP="008D5AF9">
      <w:pPr>
        <w:rPr>
          <w:sz w:val="24"/>
          <w:szCs w:val="24"/>
        </w:rPr>
      </w:pPr>
      <w:r w:rsidRPr="00410DC7">
        <w:rPr>
          <w:sz w:val="24"/>
          <w:szCs w:val="24"/>
        </w:rPr>
        <w:t>H</w:t>
      </w:r>
      <w:r w:rsidR="0084387F">
        <w:rPr>
          <w:sz w:val="24"/>
          <w:szCs w:val="24"/>
        </w:rPr>
        <w:t>IV-</w:t>
      </w:r>
      <w:r w:rsidRPr="00410DC7">
        <w:rPr>
          <w:sz w:val="24"/>
          <w:szCs w:val="24"/>
        </w:rPr>
        <w:t>inficerede patienter er i øget risiko for aciclovir resistens. Det er en dyr analyse og i praksis undersøges ikke for aciclovirresistens. Det kan være nødvendigt at forsøge topi</w:t>
      </w:r>
      <w:r>
        <w:rPr>
          <w:sz w:val="24"/>
          <w:szCs w:val="24"/>
        </w:rPr>
        <w:t>k</w:t>
      </w:r>
      <w:r w:rsidRPr="00410DC7">
        <w:rPr>
          <w:sz w:val="24"/>
          <w:szCs w:val="24"/>
        </w:rPr>
        <w:t>al behandling med aldara 5%</w:t>
      </w:r>
      <w:r>
        <w:rPr>
          <w:sz w:val="24"/>
          <w:szCs w:val="24"/>
        </w:rPr>
        <w:t xml:space="preserve"> x 3 ugentlig i op til 16 uger</w:t>
      </w:r>
      <w:r w:rsidRPr="00410DC7">
        <w:rPr>
          <w:sz w:val="24"/>
          <w:szCs w:val="24"/>
        </w:rPr>
        <w:t xml:space="preserve"> eller cidofovir creme 1%</w:t>
      </w:r>
      <w:r>
        <w:rPr>
          <w:sz w:val="24"/>
          <w:szCs w:val="24"/>
        </w:rPr>
        <w:t xml:space="preserve"> f.eks. x 1 daglig i 4-6 uger</w:t>
      </w:r>
      <w:r w:rsidRPr="00410DC7">
        <w:rPr>
          <w:sz w:val="24"/>
          <w:szCs w:val="24"/>
        </w:rPr>
        <w:t xml:space="preserve"> ved hypertrofisk eller kronisk ulcererende herpes simplex infektion ved immunsuppression </w:t>
      </w:r>
      <w:r>
        <w:rPr>
          <w:noProof/>
          <w:sz w:val="24"/>
          <w:szCs w:val="24"/>
        </w:rPr>
        <w:t>(28, 30-33)</w:t>
      </w:r>
      <w:r w:rsidRPr="00410DC7">
        <w:rPr>
          <w:sz w:val="24"/>
          <w:szCs w:val="24"/>
        </w:rPr>
        <w:t>.</w:t>
      </w:r>
    </w:p>
    <w:p w:rsidR="008D5AF9" w:rsidRDefault="008D5AF9" w:rsidP="008D5AF9">
      <w:pPr>
        <w:rPr>
          <w:sz w:val="24"/>
          <w:szCs w:val="24"/>
        </w:rPr>
      </w:pPr>
    </w:p>
    <w:tbl>
      <w:tblPr>
        <w:tblStyle w:val="Tabel-Gitter"/>
        <w:tblW w:w="10450" w:type="dxa"/>
        <w:tblLook w:val="04A0" w:firstRow="1" w:lastRow="0" w:firstColumn="1" w:lastColumn="0" w:noHBand="0" w:noVBand="1"/>
      </w:tblPr>
      <w:tblGrid>
        <w:gridCol w:w="3483"/>
        <w:gridCol w:w="3483"/>
        <w:gridCol w:w="3484"/>
      </w:tblGrid>
      <w:tr w:rsidR="008D5AF9" w:rsidTr="008D5AF9">
        <w:trPr>
          <w:trHeight w:val="278"/>
        </w:trPr>
        <w:tc>
          <w:tcPr>
            <w:tcW w:w="10450" w:type="dxa"/>
            <w:gridSpan w:val="3"/>
            <w:tcBorders>
              <w:bottom w:val="single" w:sz="4" w:space="0" w:color="auto"/>
            </w:tcBorders>
            <w:shd w:val="clear" w:color="auto" w:fill="auto"/>
          </w:tcPr>
          <w:p w:rsidR="008D5AF9" w:rsidRDefault="008D5AF9" w:rsidP="008D5AF9">
            <w:pPr>
              <w:pStyle w:val="Ingenafstand"/>
              <w:rPr>
                <w:sz w:val="24"/>
                <w:szCs w:val="24"/>
              </w:rPr>
            </w:pPr>
            <w:r w:rsidRPr="007570EB">
              <w:rPr>
                <w:b/>
                <w:bCs/>
                <w:sz w:val="24"/>
                <w:szCs w:val="24"/>
              </w:rPr>
              <w:t xml:space="preserve">Tabel </w:t>
            </w:r>
            <w:r>
              <w:rPr>
                <w:b/>
                <w:bCs/>
                <w:sz w:val="24"/>
                <w:szCs w:val="24"/>
              </w:rPr>
              <w:t xml:space="preserve">7              </w:t>
            </w:r>
            <w:r>
              <w:rPr>
                <w:sz w:val="24"/>
                <w:szCs w:val="24"/>
              </w:rPr>
              <w:t xml:space="preserve"> Behandling af Herpes anogenitalis </w:t>
            </w:r>
            <w:r>
              <w:rPr>
                <w:noProof/>
                <w:sz w:val="24"/>
                <w:szCs w:val="24"/>
              </w:rPr>
              <w:t>(28)</w:t>
            </w:r>
          </w:p>
          <w:p w:rsidR="008D5AF9" w:rsidRDefault="008D5AF9" w:rsidP="008D5AF9">
            <w:pPr>
              <w:pStyle w:val="Ingenafstand"/>
              <w:rPr>
                <w:sz w:val="24"/>
                <w:szCs w:val="24"/>
              </w:rPr>
            </w:pPr>
          </w:p>
        </w:tc>
      </w:tr>
      <w:tr w:rsidR="008D5AF9" w:rsidTr="008D5AF9">
        <w:trPr>
          <w:trHeight w:val="278"/>
        </w:trPr>
        <w:tc>
          <w:tcPr>
            <w:tcW w:w="3483" w:type="dxa"/>
            <w:tcBorders>
              <w:top w:val="single" w:sz="4" w:space="0" w:color="auto"/>
              <w:left w:val="single" w:sz="4" w:space="0" w:color="auto"/>
              <w:bottom w:val="single" w:sz="4" w:space="0" w:color="auto"/>
              <w:right w:val="nil"/>
            </w:tcBorders>
          </w:tcPr>
          <w:p w:rsidR="008D5AF9" w:rsidRDefault="008D5AF9" w:rsidP="008D5AF9">
            <w:pPr>
              <w:pStyle w:val="Ingenafstand"/>
              <w:rPr>
                <w:sz w:val="24"/>
                <w:szCs w:val="24"/>
              </w:rPr>
            </w:pPr>
          </w:p>
        </w:tc>
        <w:tc>
          <w:tcPr>
            <w:tcW w:w="3483" w:type="dxa"/>
            <w:tcBorders>
              <w:top w:val="single" w:sz="4" w:space="0" w:color="auto"/>
              <w:left w:val="nil"/>
              <w:bottom w:val="single" w:sz="4" w:space="0" w:color="auto"/>
              <w:right w:val="nil"/>
            </w:tcBorders>
          </w:tcPr>
          <w:p w:rsidR="008D5AF9" w:rsidRDefault="008D5AF9" w:rsidP="008D5AF9">
            <w:pPr>
              <w:pStyle w:val="Ingenafstand"/>
              <w:rPr>
                <w:sz w:val="24"/>
                <w:szCs w:val="24"/>
              </w:rPr>
            </w:pPr>
            <w:r>
              <w:rPr>
                <w:sz w:val="24"/>
                <w:szCs w:val="24"/>
              </w:rPr>
              <w:t>Førstevalgs behandling</w:t>
            </w:r>
          </w:p>
        </w:tc>
        <w:tc>
          <w:tcPr>
            <w:tcW w:w="3484" w:type="dxa"/>
            <w:tcBorders>
              <w:top w:val="single" w:sz="4" w:space="0" w:color="auto"/>
              <w:left w:val="nil"/>
              <w:bottom w:val="single" w:sz="4" w:space="0" w:color="auto"/>
              <w:right w:val="single" w:sz="4" w:space="0" w:color="auto"/>
            </w:tcBorders>
          </w:tcPr>
          <w:p w:rsidR="008D5AF9" w:rsidRDefault="008D5AF9" w:rsidP="008D5AF9">
            <w:pPr>
              <w:pStyle w:val="Ingenafstand"/>
              <w:rPr>
                <w:sz w:val="24"/>
                <w:szCs w:val="24"/>
              </w:rPr>
            </w:pPr>
            <w:r>
              <w:rPr>
                <w:sz w:val="24"/>
                <w:szCs w:val="24"/>
              </w:rPr>
              <w:t>Alternativ behandling</w:t>
            </w:r>
          </w:p>
        </w:tc>
      </w:tr>
      <w:tr w:rsidR="008D5AF9" w:rsidRPr="004063DF" w:rsidTr="008D5AF9">
        <w:trPr>
          <w:trHeight w:val="572"/>
        </w:trPr>
        <w:tc>
          <w:tcPr>
            <w:tcW w:w="3483" w:type="dxa"/>
            <w:tcBorders>
              <w:top w:val="single" w:sz="4" w:space="0" w:color="auto"/>
              <w:left w:val="single" w:sz="4" w:space="0" w:color="auto"/>
              <w:bottom w:val="nil"/>
              <w:right w:val="nil"/>
            </w:tcBorders>
          </w:tcPr>
          <w:p w:rsidR="008D5AF9" w:rsidRDefault="008D5AF9" w:rsidP="008D5AF9">
            <w:pPr>
              <w:pStyle w:val="Ingenafstand"/>
              <w:rPr>
                <w:sz w:val="24"/>
                <w:szCs w:val="24"/>
              </w:rPr>
            </w:pPr>
            <w:r>
              <w:rPr>
                <w:sz w:val="24"/>
                <w:szCs w:val="24"/>
              </w:rPr>
              <w:t>Primær anogenital herpes</w:t>
            </w:r>
          </w:p>
        </w:tc>
        <w:tc>
          <w:tcPr>
            <w:tcW w:w="3483" w:type="dxa"/>
            <w:tcBorders>
              <w:top w:val="single" w:sz="4" w:space="0" w:color="auto"/>
              <w:left w:val="nil"/>
              <w:bottom w:val="nil"/>
              <w:right w:val="nil"/>
            </w:tcBorders>
          </w:tcPr>
          <w:p w:rsidR="008D5AF9" w:rsidRPr="00562D57" w:rsidRDefault="008D5AF9" w:rsidP="008D5AF9">
            <w:pPr>
              <w:pStyle w:val="Ingenafstand"/>
              <w:rPr>
                <w:sz w:val="24"/>
                <w:szCs w:val="24"/>
              </w:rPr>
            </w:pPr>
            <w:r>
              <w:rPr>
                <w:sz w:val="24"/>
                <w:szCs w:val="24"/>
              </w:rPr>
              <w:t xml:space="preserve">Tbl. valaciclovir 1 g x 2 i 10 dage </w:t>
            </w:r>
            <w:r>
              <w:rPr>
                <w:noProof/>
                <w:sz w:val="24"/>
                <w:szCs w:val="24"/>
              </w:rPr>
              <w:t>(34)</w:t>
            </w:r>
          </w:p>
        </w:tc>
        <w:tc>
          <w:tcPr>
            <w:tcW w:w="3484" w:type="dxa"/>
            <w:tcBorders>
              <w:top w:val="single" w:sz="4" w:space="0" w:color="auto"/>
              <w:left w:val="nil"/>
              <w:bottom w:val="nil"/>
              <w:right w:val="single" w:sz="4" w:space="0" w:color="auto"/>
            </w:tcBorders>
          </w:tcPr>
          <w:p w:rsidR="008D5AF9" w:rsidRDefault="008D5AF9" w:rsidP="008D5AF9">
            <w:pPr>
              <w:pStyle w:val="Ingenafstand"/>
              <w:rPr>
                <w:sz w:val="24"/>
                <w:szCs w:val="24"/>
              </w:rPr>
            </w:pPr>
            <w:r w:rsidRPr="004063DF">
              <w:rPr>
                <w:sz w:val="24"/>
                <w:szCs w:val="24"/>
              </w:rPr>
              <w:t>1.</w:t>
            </w:r>
            <w:r>
              <w:rPr>
                <w:sz w:val="24"/>
                <w:szCs w:val="24"/>
              </w:rPr>
              <w:t xml:space="preserve"> Tbl. aciclovir 400 mg x 3 i 10 dage</w:t>
            </w:r>
          </w:p>
          <w:p w:rsidR="008D5AF9" w:rsidRPr="004063DF" w:rsidRDefault="008D5AF9" w:rsidP="008D5AF9">
            <w:pPr>
              <w:pStyle w:val="Ingenafstand"/>
              <w:rPr>
                <w:sz w:val="24"/>
                <w:szCs w:val="24"/>
              </w:rPr>
            </w:pPr>
          </w:p>
        </w:tc>
      </w:tr>
      <w:tr w:rsidR="008D5AF9" w:rsidRPr="009E709F" w:rsidTr="008D5AF9">
        <w:trPr>
          <w:trHeight w:val="572"/>
        </w:trPr>
        <w:tc>
          <w:tcPr>
            <w:tcW w:w="3483" w:type="dxa"/>
            <w:tcBorders>
              <w:top w:val="nil"/>
              <w:left w:val="single" w:sz="4" w:space="0" w:color="auto"/>
              <w:bottom w:val="nil"/>
              <w:right w:val="nil"/>
            </w:tcBorders>
          </w:tcPr>
          <w:p w:rsidR="008D5AF9" w:rsidRPr="004063DF" w:rsidRDefault="008D5AF9" w:rsidP="008D5AF9">
            <w:pPr>
              <w:pStyle w:val="Ingenafstand"/>
              <w:rPr>
                <w:sz w:val="24"/>
                <w:szCs w:val="24"/>
              </w:rPr>
            </w:pPr>
            <w:r>
              <w:rPr>
                <w:sz w:val="24"/>
                <w:szCs w:val="24"/>
              </w:rPr>
              <w:t>Recidiverende anogenital herpes</w:t>
            </w:r>
          </w:p>
        </w:tc>
        <w:tc>
          <w:tcPr>
            <w:tcW w:w="3483" w:type="dxa"/>
            <w:tcBorders>
              <w:top w:val="nil"/>
              <w:left w:val="nil"/>
              <w:bottom w:val="nil"/>
              <w:right w:val="nil"/>
            </w:tcBorders>
          </w:tcPr>
          <w:p w:rsidR="008D5AF9" w:rsidRPr="004063DF" w:rsidRDefault="008D5AF9" w:rsidP="008D5AF9">
            <w:pPr>
              <w:pStyle w:val="Ingenafstand"/>
              <w:rPr>
                <w:sz w:val="24"/>
                <w:szCs w:val="24"/>
              </w:rPr>
            </w:pPr>
            <w:r>
              <w:rPr>
                <w:sz w:val="24"/>
                <w:szCs w:val="24"/>
              </w:rPr>
              <w:t>Tbl. valaciclovir 500 mg x 2 i 3-5 dage</w:t>
            </w:r>
          </w:p>
        </w:tc>
        <w:tc>
          <w:tcPr>
            <w:tcW w:w="3484" w:type="dxa"/>
            <w:tcBorders>
              <w:top w:val="nil"/>
              <w:left w:val="nil"/>
              <w:bottom w:val="nil"/>
              <w:right w:val="single" w:sz="4" w:space="0" w:color="auto"/>
            </w:tcBorders>
          </w:tcPr>
          <w:p w:rsidR="008D5AF9" w:rsidRDefault="008D5AF9" w:rsidP="008D5AF9">
            <w:pPr>
              <w:pStyle w:val="Ingenafstand"/>
              <w:rPr>
                <w:sz w:val="24"/>
                <w:szCs w:val="24"/>
              </w:rPr>
            </w:pPr>
            <w:r w:rsidRPr="009E709F">
              <w:rPr>
                <w:sz w:val="24"/>
                <w:szCs w:val="24"/>
              </w:rPr>
              <w:t>1.</w:t>
            </w:r>
            <w:r>
              <w:rPr>
                <w:sz w:val="24"/>
                <w:szCs w:val="24"/>
              </w:rPr>
              <w:t xml:space="preserve"> </w:t>
            </w:r>
            <w:r w:rsidRPr="009E709F">
              <w:rPr>
                <w:sz w:val="24"/>
                <w:szCs w:val="24"/>
              </w:rPr>
              <w:t xml:space="preserve">Tbl. aciclovir 400 mg x 3 </w:t>
            </w:r>
            <w:r w:rsidRPr="003E1F62">
              <w:rPr>
                <w:sz w:val="24"/>
                <w:szCs w:val="24"/>
              </w:rPr>
              <w:t>i 3-5 da</w:t>
            </w:r>
            <w:r>
              <w:rPr>
                <w:sz w:val="24"/>
                <w:szCs w:val="24"/>
              </w:rPr>
              <w:t>ge</w:t>
            </w:r>
          </w:p>
          <w:p w:rsidR="008D5AF9" w:rsidRPr="009E709F" w:rsidRDefault="008D5AF9" w:rsidP="008D5AF9">
            <w:pPr>
              <w:pStyle w:val="Ingenafstand"/>
              <w:rPr>
                <w:sz w:val="24"/>
                <w:szCs w:val="24"/>
              </w:rPr>
            </w:pPr>
            <w:r w:rsidRPr="009E709F">
              <w:rPr>
                <w:sz w:val="24"/>
                <w:szCs w:val="24"/>
              </w:rPr>
              <w:t xml:space="preserve">2. Tbl aciclovir 800 mg x 3 </w:t>
            </w:r>
            <w:r>
              <w:rPr>
                <w:sz w:val="24"/>
                <w:szCs w:val="24"/>
              </w:rPr>
              <w:t>i</w:t>
            </w:r>
            <w:r w:rsidRPr="003E1F62">
              <w:rPr>
                <w:sz w:val="24"/>
                <w:szCs w:val="24"/>
              </w:rPr>
              <w:t xml:space="preserve"> 2 da</w:t>
            </w:r>
            <w:r>
              <w:rPr>
                <w:sz w:val="24"/>
                <w:szCs w:val="24"/>
              </w:rPr>
              <w:t>ge</w:t>
            </w:r>
          </w:p>
          <w:p w:rsidR="008D5AF9" w:rsidRDefault="008D5AF9" w:rsidP="008D5AF9">
            <w:pPr>
              <w:pStyle w:val="Ingenafstand"/>
              <w:rPr>
                <w:sz w:val="24"/>
                <w:szCs w:val="24"/>
              </w:rPr>
            </w:pPr>
            <w:r w:rsidRPr="009E709F">
              <w:rPr>
                <w:sz w:val="24"/>
                <w:szCs w:val="24"/>
              </w:rPr>
              <w:t>2. Tbl. famciclovir 1 g x 2 k</w:t>
            </w:r>
            <w:r w:rsidRPr="003E1F62">
              <w:rPr>
                <w:sz w:val="24"/>
                <w:szCs w:val="24"/>
              </w:rPr>
              <w:t>un</w:t>
            </w:r>
            <w:r>
              <w:rPr>
                <w:sz w:val="24"/>
                <w:szCs w:val="24"/>
              </w:rPr>
              <w:t xml:space="preserve"> 1 dag</w:t>
            </w:r>
          </w:p>
          <w:p w:rsidR="008D5AF9" w:rsidRPr="009E709F" w:rsidRDefault="008D5AF9" w:rsidP="008D5AF9">
            <w:pPr>
              <w:pStyle w:val="Ingenafstand"/>
              <w:rPr>
                <w:sz w:val="24"/>
                <w:szCs w:val="24"/>
              </w:rPr>
            </w:pPr>
          </w:p>
        </w:tc>
      </w:tr>
      <w:tr w:rsidR="008D5AF9" w:rsidRPr="00872077" w:rsidTr="008D5AF9">
        <w:trPr>
          <w:trHeight w:val="850"/>
        </w:trPr>
        <w:tc>
          <w:tcPr>
            <w:tcW w:w="3483" w:type="dxa"/>
            <w:tcBorders>
              <w:top w:val="nil"/>
              <w:left w:val="single" w:sz="4" w:space="0" w:color="auto"/>
              <w:bottom w:val="nil"/>
              <w:right w:val="nil"/>
            </w:tcBorders>
          </w:tcPr>
          <w:p w:rsidR="008D5AF9" w:rsidRPr="009E709F" w:rsidRDefault="008D5AF9" w:rsidP="008D5AF9">
            <w:pPr>
              <w:pStyle w:val="Ingenafstand"/>
              <w:rPr>
                <w:sz w:val="24"/>
                <w:szCs w:val="24"/>
              </w:rPr>
            </w:pPr>
            <w:r>
              <w:rPr>
                <w:sz w:val="24"/>
                <w:szCs w:val="24"/>
              </w:rPr>
              <w:t>Forebyggende behandling (</w:t>
            </w:r>
            <w:r>
              <w:rPr>
                <w:rFonts w:cstheme="minorHAnsi"/>
                <w:sz w:val="24"/>
                <w:szCs w:val="24"/>
              </w:rPr>
              <w:t>≥</w:t>
            </w:r>
            <w:r>
              <w:rPr>
                <w:sz w:val="24"/>
                <w:szCs w:val="24"/>
              </w:rPr>
              <w:t>6 recidiver årligt)</w:t>
            </w:r>
            <w:r>
              <w:rPr>
                <w:rFonts w:cstheme="minorHAnsi"/>
                <w:sz w:val="24"/>
                <w:szCs w:val="24"/>
              </w:rPr>
              <w:t>¹</w:t>
            </w:r>
          </w:p>
        </w:tc>
        <w:tc>
          <w:tcPr>
            <w:tcW w:w="3483" w:type="dxa"/>
            <w:tcBorders>
              <w:top w:val="nil"/>
              <w:left w:val="nil"/>
              <w:bottom w:val="nil"/>
              <w:right w:val="nil"/>
            </w:tcBorders>
          </w:tcPr>
          <w:p w:rsidR="008D5AF9" w:rsidRPr="00872077" w:rsidRDefault="008D5AF9" w:rsidP="008D5AF9">
            <w:pPr>
              <w:pStyle w:val="Ingenafstand"/>
              <w:rPr>
                <w:sz w:val="24"/>
                <w:szCs w:val="24"/>
              </w:rPr>
            </w:pPr>
            <w:r w:rsidRPr="00872077">
              <w:rPr>
                <w:sz w:val="24"/>
                <w:szCs w:val="24"/>
              </w:rPr>
              <w:t>Tbl. valaciclovir 500 mg x 1 daglig.</w:t>
            </w:r>
          </w:p>
        </w:tc>
        <w:tc>
          <w:tcPr>
            <w:tcW w:w="3484" w:type="dxa"/>
            <w:tcBorders>
              <w:top w:val="nil"/>
              <w:left w:val="nil"/>
              <w:bottom w:val="nil"/>
              <w:right w:val="single" w:sz="4" w:space="0" w:color="auto"/>
            </w:tcBorders>
          </w:tcPr>
          <w:p w:rsidR="008D5AF9" w:rsidRPr="00872077" w:rsidRDefault="008D5AF9" w:rsidP="008D5AF9">
            <w:pPr>
              <w:pStyle w:val="Ingenafstand"/>
              <w:rPr>
                <w:sz w:val="24"/>
                <w:szCs w:val="24"/>
              </w:rPr>
            </w:pPr>
            <w:r w:rsidRPr="00872077">
              <w:rPr>
                <w:sz w:val="24"/>
                <w:szCs w:val="24"/>
              </w:rPr>
              <w:t>Tbl. acyclovir 400 mg x 2 daglig.</w:t>
            </w:r>
          </w:p>
        </w:tc>
      </w:tr>
      <w:tr w:rsidR="008D5AF9" w:rsidRPr="009E709F" w:rsidTr="008D5AF9">
        <w:trPr>
          <w:trHeight w:val="572"/>
        </w:trPr>
        <w:tc>
          <w:tcPr>
            <w:tcW w:w="3483" w:type="dxa"/>
            <w:tcBorders>
              <w:top w:val="nil"/>
              <w:left w:val="single" w:sz="4" w:space="0" w:color="auto"/>
              <w:bottom w:val="single" w:sz="4" w:space="0" w:color="auto"/>
              <w:right w:val="nil"/>
            </w:tcBorders>
          </w:tcPr>
          <w:p w:rsidR="008D5AF9" w:rsidRPr="009E709F" w:rsidRDefault="008D5AF9" w:rsidP="008D5AF9">
            <w:pPr>
              <w:pStyle w:val="Ingenafstand"/>
              <w:rPr>
                <w:sz w:val="24"/>
                <w:szCs w:val="24"/>
              </w:rPr>
            </w:pPr>
            <w:r>
              <w:rPr>
                <w:sz w:val="24"/>
                <w:szCs w:val="24"/>
              </w:rPr>
              <w:t>Forebyggende behandling (&gt;10 recidiver årligt)</w:t>
            </w:r>
            <w:r>
              <w:rPr>
                <w:rFonts w:cstheme="minorHAnsi"/>
                <w:sz w:val="24"/>
                <w:szCs w:val="24"/>
              </w:rPr>
              <w:t>¹</w:t>
            </w:r>
          </w:p>
        </w:tc>
        <w:tc>
          <w:tcPr>
            <w:tcW w:w="3483" w:type="dxa"/>
            <w:tcBorders>
              <w:top w:val="nil"/>
              <w:left w:val="nil"/>
              <w:bottom w:val="single" w:sz="4" w:space="0" w:color="auto"/>
              <w:right w:val="nil"/>
            </w:tcBorders>
          </w:tcPr>
          <w:p w:rsidR="008D5AF9" w:rsidRPr="00872077" w:rsidRDefault="008D5AF9" w:rsidP="008D5AF9">
            <w:pPr>
              <w:pStyle w:val="Ingenafstand"/>
              <w:rPr>
                <w:sz w:val="24"/>
                <w:szCs w:val="24"/>
              </w:rPr>
            </w:pPr>
            <w:r>
              <w:rPr>
                <w:sz w:val="24"/>
                <w:szCs w:val="24"/>
              </w:rPr>
              <w:t>Tbl. valaciclovir 1 g x 1 daglig</w:t>
            </w:r>
          </w:p>
        </w:tc>
        <w:tc>
          <w:tcPr>
            <w:tcW w:w="3484" w:type="dxa"/>
            <w:tcBorders>
              <w:top w:val="nil"/>
              <w:left w:val="nil"/>
              <w:bottom w:val="single" w:sz="4" w:space="0" w:color="auto"/>
              <w:right w:val="single" w:sz="4" w:space="0" w:color="auto"/>
            </w:tcBorders>
          </w:tcPr>
          <w:p w:rsidR="008D5AF9" w:rsidRPr="00872077" w:rsidRDefault="008D5AF9" w:rsidP="008D5AF9">
            <w:pPr>
              <w:pStyle w:val="Ingenafstand"/>
              <w:rPr>
                <w:sz w:val="24"/>
                <w:szCs w:val="24"/>
              </w:rPr>
            </w:pPr>
          </w:p>
        </w:tc>
      </w:tr>
    </w:tbl>
    <w:p w:rsidR="008D5AF9" w:rsidRPr="009778C9" w:rsidRDefault="008D5AF9" w:rsidP="008D5AF9">
      <w:pPr>
        <w:pStyle w:val="Ingenafstand"/>
      </w:pPr>
      <w:r w:rsidRPr="009778C9">
        <w:rPr>
          <w:rFonts w:cstheme="minorHAnsi"/>
        </w:rPr>
        <w:t>¹</w:t>
      </w:r>
      <w:r w:rsidRPr="009778C9">
        <w:t>Behandlingspause kan forsøges hver 3.-6. måned</w:t>
      </w:r>
    </w:p>
    <w:p w:rsidR="008D5AF9" w:rsidRPr="009778C9" w:rsidRDefault="008D5AF9" w:rsidP="008D5AF9">
      <w:pPr>
        <w:pStyle w:val="Ingenafstand"/>
      </w:pPr>
      <w:r w:rsidRPr="009778C9">
        <w:t>Topikal behandling med aciclovir-holdige cremer bør undgås mhp. at hindre resistensudvikling.</w:t>
      </w:r>
    </w:p>
    <w:p w:rsidR="008D5AF9" w:rsidRPr="009778C9" w:rsidRDefault="008D5AF9" w:rsidP="008D5AF9">
      <w:pPr>
        <w:pStyle w:val="Ingenafstand"/>
      </w:pPr>
      <w:r w:rsidRPr="009778C9">
        <w:t>Kondom anbefales ved partnerskifte, og hvis partneren ikke er smittet.</w:t>
      </w:r>
    </w:p>
    <w:p w:rsidR="008D5AF9" w:rsidRDefault="008D5AF9" w:rsidP="008D5AF9">
      <w:pPr>
        <w:pStyle w:val="Ingenafstand"/>
        <w:rPr>
          <w:sz w:val="24"/>
          <w:szCs w:val="24"/>
        </w:rPr>
      </w:pPr>
    </w:p>
    <w:p w:rsidR="008D5AF9" w:rsidRPr="00410DC7" w:rsidRDefault="008D5AF9" w:rsidP="008D5AF9">
      <w:pPr>
        <w:rPr>
          <w:sz w:val="24"/>
          <w:szCs w:val="24"/>
        </w:rPr>
      </w:pPr>
    </w:p>
    <w:p w:rsidR="008D5AF9" w:rsidRPr="005B1D59" w:rsidRDefault="008D5AF9" w:rsidP="008D5AF9">
      <w:pPr>
        <w:pStyle w:val="Overskrift3"/>
        <w:rPr>
          <w:rFonts w:asciiTheme="minorHAnsi" w:hAnsiTheme="minorHAnsi" w:cstheme="minorHAnsi"/>
          <w:sz w:val="28"/>
          <w:szCs w:val="28"/>
        </w:rPr>
      </w:pPr>
      <w:bookmarkStart w:id="13" w:name="_Toc86222544"/>
      <w:r w:rsidRPr="005B1D59">
        <w:rPr>
          <w:rFonts w:asciiTheme="minorHAnsi" w:hAnsiTheme="minorHAnsi" w:cstheme="minorHAnsi"/>
          <w:sz w:val="28"/>
          <w:szCs w:val="28"/>
        </w:rPr>
        <w:t>Syfilis</w:t>
      </w:r>
      <w:bookmarkEnd w:id="13"/>
      <w:r w:rsidRPr="005B1D59">
        <w:rPr>
          <w:rFonts w:asciiTheme="minorHAnsi" w:hAnsiTheme="minorHAnsi" w:cstheme="minorHAnsi"/>
          <w:sz w:val="28"/>
          <w:szCs w:val="28"/>
        </w:rPr>
        <w:t xml:space="preserve"> </w:t>
      </w:r>
    </w:p>
    <w:p w:rsidR="008D5AF9" w:rsidRDefault="008D5AF9" w:rsidP="008D5AF9">
      <w:pPr>
        <w:rPr>
          <w:sz w:val="24"/>
          <w:szCs w:val="24"/>
        </w:rPr>
      </w:pPr>
    </w:p>
    <w:p w:rsidR="008D5AF9" w:rsidRPr="0013366A" w:rsidRDefault="008D5AF9" w:rsidP="008D5AF9">
      <w:pPr>
        <w:rPr>
          <w:b/>
          <w:bCs/>
          <w:sz w:val="24"/>
          <w:szCs w:val="24"/>
        </w:rPr>
      </w:pPr>
      <w:r w:rsidRPr="0013366A">
        <w:rPr>
          <w:b/>
          <w:bCs/>
          <w:sz w:val="24"/>
          <w:szCs w:val="24"/>
        </w:rPr>
        <w:t>Symptomer</w:t>
      </w:r>
    </w:p>
    <w:p w:rsidR="008D5AF9" w:rsidRDefault="008D5AF9" w:rsidP="008D5AF9">
      <w:pPr>
        <w:rPr>
          <w:sz w:val="24"/>
          <w:szCs w:val="24"/>
        </w:rPr>
      </w:pPr>
      <w:r>
        <w:rPr>
          <w:sz w:val="24"/>
          <w:szCs w:val="24"/>
        </w:rPr>
        <w:t>Symptomer på syfilis beskrives ikke systematisk i denne vejledning (der henvises til DDS syfilis guideline, men her fremhæves kort symptomer, der skal være særlig opmærksomhed på</w:t>
      </w:r>
      <w:r w:rsidR="00655A3F">
        <w:rPr>
          <w:sz w:val="24"/>
          <w:szCs w:val="24"/>
        </w:rPr>
        <w:t>)</w:t>
      </w:r>
      <w:r>
        <w:rPr>
          <w:sz w:val="24"/>
          <w:szCs w:val="24"/>
        </w:rPr>
        <w:t xml:space="preserve">. </w:t>
      </w:r>
    </w:p>
    <w:p w:rsidR="008D5AF9" w:rsidRDefault="008D5AF9" w:rsidP="008D5AF9">
      <w:pPr>
        <w:rPr>
          <w:sz w:val="24"/>
          <w:szCs w:val="24"/>
        </w:rPr>
      </w:pPr>
      <w:r>
        <w:rPr>
          <w:sz w:val="24"/>
          <w:szCs w:val="24"/>
        </w:rPr>
        <w:t xml:space="preserve">Primær syfilis præsenterer sig klassisk i form af et indureret, uømt ofte solitært sår anogenitalt eller oralt. Syfilis er imidlertid ”den store imitator”, så der kan være multiple sår, der bl.a. kan være herpetiforme, ligesom de kan være ømme </w:t>
      </w:r>
      <w:r>
        <w:rPr>
          <w:noProof/>
          <w:sz w:val="24"/>
          <w:szCs w:val="24"/>
        </w:rPr>
        <w:t>(3</w:t>
      </w:r>
      <w:r w:rsidR="002D3B99">
        <w:rPr>
          <w:noProof/>
          <w:sz w:val="24"/>
          <w:szCs w:val="24"/>
        </w:rPr>
        <w:t>5</w:t>
      </w:r>
      <w:r>
        <w:rPr>
          <w:noProof/>
          <w:sz w:val="24"/>
          <w:szCs w:val="24"/>
        </w:rPr>
        <w:t>, 3</w:t>
      </w:r>
      <w:r w:rsidR="002D3B99">
        <w:rPr>
          <w:noProof/>
          <w:sz w:val="24"/>
          <w:szCs w:val="24"/>
        </w:rPr>
        <w:t>6</w:t>
      </w:r>
      <w:r>
        <w:rPr>
          <w:noProof/>
          <w:sz w:val="24"/>
          <w:szCs w:val="24"/>
        </w:rPr>
        <w:t>)</w:t>
      </w:r>
      <w:r>
        <w:rPr>
          <w:sz w:val="24"/>
          <w:szCs w:val="24"/>
        </w:rPr>
        <w:t xml:space="preserve">. I sekundærstadiet ses hududslæt og/eller mukokutane læsioner hos omkring 90% </w:t>
      </w:r>
      <w:r>
        <w:rPr>
          <w:noProof/>
          <w:sz w:val="24"/>
          <w:szCs w:val="24"/>
        </w:rPr>
        <w:t>(3</w:t>
      </w:r>
      <w:r w:rsidR="002D3B99">
        <w:rPr>
          <w:noProof/>
          <w:sz w:val="24"/>
          <w:szCs w:val="24"/>
        </w:rPr>
        <w:t>7</w:t>
      </w:r>
      <w:r>
        <w:rPr>
          <w:noProof/>
          <w:sz w:val="24"/>
          <w:szCs w:val="24"/>
        </w:rPr>
        <w:t>)</w:t>
      </w:r>
      <w:r>
        <w:rPr>
          <w:sz w:val="24"/>
          <w:szCs w:val="24"/>
        </w:rPr>
        <w:t xml:space="preserve">. Hududslættet spænder fra det makulære blegrøde roseola til papuløst eller annulært. Hududslæt hos højrisikopatienter som MSM, sexarbejdere samt patienter der har haft ubeskyttet sex i endemiske områder, bør altid udredes for syfilis og </w:t>
      </w:r>
      <w:r w:rsidR="0084387F">
        <w:rPr>
          <w:sz w:val="24"/>
          <w:szCs w:val="24"/>
        </w:rPr>
        <w:t>HIV</w:t>
      </w:r>
      <w:r>
        <w:rPr>
          <w:sz w:val="24"/>
          <w:szCs w:val="24"/>
        </w:rPr>
        <w:t>.</w:t>
      </w:r>
    </w:p>
    <w:p w:rsidR="006A0B1D" w:rsidRDefault="006A0B1D" w:rsidP="008D5AF9">
      <w:pPr>
        <w:rPr>
          <w:sz w:val="24"/>
          <w:szCs w:val="24"/>
        </w:rPr>
      </w:pPr>
    </w:p>
    <w:p w:rsidR="006A0B1D" w:rsidRDefault="006A0B1D" w:rsidP="008D5AF9">
      <w:pPr>
        <w:rPr>
          <w:sz w:val="24"/>
          <w:szCs w:val="24"/>
        </w:rPr>
      </w:pPr>
    </w:p>
    <w:p w:rsidR="008D5AF9" w:rsidRPr="002F6BFC" w:rsidRDefault="008D5AF9" w:rsidP="008D5AF9">
      <w:pPr>
        <w:rPr>
          <w:sz w:val="24"/>
          <w:szCs w:val="24"/>
        </w:rPr>
      </w:pPr>
    </w:p>
    <w:p w:rsidR="008D5AF9" w:rsidRPr="0013366A" w:rsidRDefault="008D5AF9" w:rsidP="008D5AF9">
      <w:pPr>
        <w:rPr>
          <w:b/>
          <w:bCs/>
          <w:sz w:val="24"/>
          <w:szCs w:val="24"/>
        </w:rPr>
      </w:pPr>
      <w:r w:rsidRPr="0013366A">
        <w:rPr>
          <w:b/>
          <w:bCs/>
          <w:sz w:val="24"/>
          <w:szCs w:val="24"/>
        </w:rPr>
        <w:t>Diagnostik</w:t>
      </w:r>
    </w:p>
    <w:p w:rsidR="008D5AF9" w:rsidRPr="002F6BFC" w:rsidRDefault="008D5AF9" w:rsidP="008D5AF9">
      <w:pPr>
        <w:rPr>
          <w:sz w:val="24"/>
          <w:szCs w:val="24"/>
        </w:rPr>
      </w:pPr>
      <w:r w:rsidRPr="002F6BFC">
        <w:rPr>
          <w:sz w:val="24"/>
          <w:szCs w:val="24"/>
        </w:rPr>
        <w:t xml:space="preserve">1. Serologi. Der anvendes forskellige test afhængig af om prøver sendes til lokal mikrobiologisk/klinisk biokemisk afdeling eller </w:t>
      </w:r>
      <w:r>
        <w:rPr>
          <w:sz w:val="24"/>
          <w:szCs w:val="24"/>
        </w:rPr>
        <w:t xml:space="preserve">til </w:t>
      </w:r>
      <w:r w:rsidRPr="002F6BFC">
        <w:rPr>
          <w:sz w:val="24"/>
          <w:szCs w:val="24"/>
        </w:rPr>
        <w:t xml:space="preserve">SSI. Desuden kan der anvendes traditionel eller ”revers” test algoritme og der henvises til lokale instrukser.   </w:t>
      </w:r>
    </w:p>
    <w:p w:rsidR="008D5AF9" w:rsidRPr="002F6BFC" w:rsidRDefault="008D5AF9" w:rsidP="008D5AF9">
      <w:pPr>
        <w:rPr>
          <w:sz w:val="24"/>
          <w:szCs w:val="24"/>
        </w:rPr>
      </w:pPr>
      <w:r w:rsidRPr="002F6BFC">
        <w:rPr>
          <w:sz w:val="24"/>
          <w:szCs w:val="24"/>
        </w:rPr>
        <w:t xml:space="preserve">2. Fra læsion: Mørkefeltsmikroskopi, </w:t>
      </w:r>
      <w:r w:rsidRPr="00DE7D15">
        <w:rPr>
          <w:i/>
          <w:iCs/>
          <w:sz w:val="24"/>
          <w:szCs w:val="24"/>
        </w:rPr>
        <w:t>Treponema pallidum</w:t>
      </w:r>
      <w:r w:rsidRPr="002F6BFC">
        <w:rPr>
          <w:sz w:val="24"/>
          <w:szCs w:val="24"/>
        </w:rPr>
        <w:t xml:space="preserve"> PCR, biopsi</w:t>
      </w:r>
    </w:p>
    <w:p w:rsidR="008D5AF9" w:rsidRPr="002F6BFC" w:rsidRDefault="008D5AF9" w:rsidP="008D5AF9">
      <w:pPr>
        <w:rPr>
          <w:sz w:val="24"/>
          <w:szCs w:val="24"/>
        </w:rPr>
      </w:pPr>
      <w:r w:rsidRPr="002F6BFC">
        <w:rPr>
          <w:sz w:val="24"/>
          <w:szCs w:val="24"/>
        </w:rPr>
        <w:t xml:space="preserve">Ad. 1: Serologi </w:t>
      </w:r>
    </w:p>
    <w:p w:rsidR="008D5AF9" w:rsidRPr="006E0ECD" w:rsidRDefault="008D5AF9" w:rsidP="008D5AF9">
      <w:pPr>
        <w:rPr>
          <w:sz w:val="24"/>
          <w:szCs w:val="24"/>
        </w:rPr>
      </w:pPr>
      <w:r w:rsidRPr="0087384B">
        <w:rPr>
          <w:sz w:val="24"/>
          <w:szCs w:val="24"/>
        </w:rPr>
        <w:t>Non-treponemale (uspecifikke) antigen test</w:t>
      </w:r>
      <w:r w:rsidRPr="008D5AF9">
        <w:rPr>
          <w:sz w:val="24"/>
          <w:szCs w:val="24"/>
        </w:rPr>
        <w:t>s</w:t>
      </w:r>
      <w:r w:rsidRPr="0087384B">
        <w:rPr>
          <w:sz w:val="24"/>
          <w:szCs w:val="24"/>
        </w:rPr>
        <w:t>: WR (Was</w:t>
      </w:r>
      <w:r w:rsidRPr="008D5AF9">
        <w:rPr>
          <w:sz w:val="24"/>
          <w:szCs w:val="24"/>
        </w:rPr>
        <w:t>sermans reaktion)</w:t>
      </w:r>
      <w:r w:rsidRPr="0087384B">
        <w:rPr>
          <w:sz w:val="24"/>
          <w:szCs w:val="24"/>
        </w:rPr>
        <w:t xml:space="preserve"> og RPR (rapid plasma reagin test) </w:t>
      </w:r>
      <w:r>
        <w:rPr>
          <w:sz w:val="24"/>
          <w:szCs w:val="24"/>
        </w:rPr>
        <w:t>p</w:t>
      </w:r>
      <w:r w:rsidRPr="006E0ECD">
        <w:rPr>
          <w:sz w:val="24"/>
          <w:szCs w:val="24"/>
        </w:rPr>
        <w:t xml:space="preserve">åviser antistoffer, der forekommer ved syfilis, men som ikke er rettet mod antigener i selve </w:t>
      </w:r>
      <w:r w:rsidRPr="006E0ECD">
        <w:rPr>
          <w:i/>
          <w:iCs/>
          <w:sz w:val="24"/>
          <w:szCs w:val="24"/>
        </w:rPr>
        <w:t>T. pallidum</w:t>
      </w:r>
      <w:r w:rsidRPr="006E0ECD">
        <w:rPr>
          <w:sz w:val="24"/>
          <w:szCs w:val="24"/>
        </w:rPr>
        <w:t>. Det primære antigen er kardiolipin.</w:t>
      </w:r>
    </w:p>
    <w:p w:rsidR="008D5AF9" w:rsidRPr="006E0ECD" w:rsidRDefault="008D5AF9" w:rsidP="008D5AF9">
      <w:pPr>
        <w:rPr>
          <w:sz w:val="24"/>
          <w:szCs w:val="24"/>
        </w:rPr>
      </w:pPr>
      <w:r w:rsidRPr="006E0ECD">
        <w:rPr>
          <w:sz w:val="24"/>
          <w:szCs w:val="24"/>
        </w:rPr>
        <w:t xml:space="preserve">Treponemale (specifikke) test: AF-G (anti-flagel IgG), AF-M (anti-flagel IgM), FTA-ABS (flourescent treponemal antibody-absorption test), TPPA (treponema pallidum particle agglutination assay) og Inno-Lia (line immunoassay.) Der ses </w:t>
      </w:r>
      <w:r>
        <w:rPr>
          <w:sz w:val="24"/>
          <w:szCs w:val="24"/>
        </w:rPr>
        <w:t xml:space="preserve">ofte persistende positive antistoffer </w:t>
      </w:r>
      <w:r w:rsidRPr="006E0ECD">
        <w:rPr>
          <w:sz w:val="24"/>
          <w:szCs w:val="24"/>
        </w:rPr>
        <w:t xml:space="preserve">”serologisk ar” efter endt syfilis behandling, og derfor kan denne gruppe af tests ikke bruges til at monitorere behandlingsrespons. De treponemale tests påviser antistoffer, som er rettet mod </w:t>
      </w:r>
      <w:r w:rsidRPr="006E0ECD">
        <w:rPr>
          <w:i/>
          <w:iCs/>
          <w:sz w:val="24"/>
          <w:szCs w:val="24"/>
        </w:rPr>
        <w:t>T. pallidum</w:t>
      </w:r>
      <w:r w:rsidRPr="006E0ECD">
        <w:rPr>
          <w:sz w:val="24"/>
          <w:szCs w:val="24"/>
        </w:rPr>
        <w:t xml:space="preserve">, er sædvanligvis specifikke og tyder på infektion med </w:t>
      </w:r>
      <w:r w:rsidRPr="006E0ECD">
        <w:rPr>
          <w:i/>
          <w:iCs/>
          <w:sz w:val="24"/>
          <w:szCs w:val="24"/>
        </w:rPr>
        <w:t>T. pallidum</w:t>
      </w:r>
      <w:r w:rsidRPr="006E0ECD">
        <w:rPr>
          <w:sz w:val="24"/>
          <w:szCs w:val="24"/>
        </w:rPr>
        <w:t xml:space="preserve"> eller andre treponemer.</w:t>
      </w:r>
    </w:p>
    <w:p w:rsidR="008D5AF9" w:rsidRDefault="008D5AF9" w:rsidP="008D5AF9">
      <w:pPr>
        <w:rPr>
          <w:sz w:val="24"/>
          <w:szCs w:val="24"/>
        </w:rPr>
      </w:pPr>
      <w:r>
        <w:rPr>
          <w:sz w:val="24"/>
          <w:szCs w:val="24"/>
        </w:rPr>
        <w:t>Tolkning af screeningstests</w:t>
      </w:r>
    </w:p>
    <w:p w:rsidR="008D5AF9" w:rsidRPr="0013366A" w:rsidRDefault="008D5AF9" w:rsidP="008D5AF9">
      <w:pPr>
        <w:rPr>
          <w:sz w:val="24"/>
          <w:szCs w:val="24"/>
        </w:rPr>
      </w:pPr>
      <w:r>
        <w:rPr>
          <w:sz w:val="24"/>
          <w:szCs w:val="24"/>
        </w:rPr>
        <w:t xml:space="preserve">Positiv screeningstest: Positiv TPHA eller </w:t>
      </w:r>
      <w:r w:rsidRPr="003F7C4F">
        <w:rPr>
          <w:i/>
          <w:iCs/>
          <w:sz w:val="24"/>
          <w:szCs w:val="24"/>
        </w:rPr>
        <w:t>T. pallidum</w:t>
      </w:r>
      <w:r>
        <w:rPr>
          <w:sz w:val="24"/>
          <w:szCs w:val="24"/>
        </w:rPr>
        <w:t xml:space="preserve"> anstistof udløser undersøgelse for RPR samt konfirmeres med treponemale tests (fx TPPA og Inno-Lia).</w:t>
      </w:r>
    </w:p>
    <w:p w:rsidR="008D5AF9" w:rsidRPr="006E0ECD" w:rsidRDefault="008D5AF9" w:rsidP="008D5AF9">
      <w:pPr>
        <w:rPr>
          <w:sz w:val="24"/>
          <w:szCs w:val="24"/>
        </w:rPr>
      </w:pPr>
      <w:r w:rsidRPr="006E0ECD">
        <w:rPr>
          <w:sz w:val="24"/>
          <w:szCs w:val="24"/>
        </w:rPr>
        <w:t xml:space="preserve">WR og RPR 0 og tidligere kendt med syfilis: Ingen aktiv syfilis. </w:t>
      </w:r>
    </w:p>
    <w:p w:rsidR="008D5AF9" w:rsidRPr="00F85793" w:rsidRDefault="008D5AF9" w:rsidP="008D5AF9">
      <w:pPr>
        <w:rPr>
          <w:sz w:val="24"/>
          <w:szCs w:val="24"/>
        </w:rPr>
      </w:pPr>
      <w:r w:rsidRPr="002F6BFC">
        <w:rPr>
          <w:sz w:val="24"/>
          <w:szCs w:val="24"/>
        </w:rPr>
        <w:t>Er screeningstesten negativ og der foreligger anamnestisk eksposition, må den gentages 1-2 uger efter</w:t>
      </w:r>
      <w:r>
        <w:rPr>
          <w:sz w:val="24"/>
          <w:szCs w:val="24"/>
        </w:rPr>
        <w:t xml:space="preserve"> mht. om det er tidlig latent syfilis</w:t>
      </w:r>
      <w:r w:rsidRPr="002F6BFC">
        <w:rPr>
          <w:sz w:val="24"/>
          <w:szCs w:val="24"/>
        </w:rPr>
        <w:t>.</w:t>
      </w:r>
      <w:r>
        <w:rPr>
          <w:sz w:val="24"/>
          <w:szCs w:val="24"/>
        </w:rPr>
        <w:t xml:space="preserve"> Kan også ses helt tidligt i primærstadiet, i tilfælde hvor f.eks. kun </w:t>
      </w:r>
      <w:r>
        <w:rPr>
          <w:i/>
          <w:iCs/>
          <w:sz w:val="24"/>
          <w:szCs w:val="24"/>
        </w:rPr>
        <w:t xml:space="preserve">T. pallidum </w:t>
      </w:r>
      <w:r>
        <w:rPr>
          <w:sz w:val="24"/>
          <w:szCs w:val="24"/>
        </w:rPr>
        <w:t>PCR er positiv</w:t>
      </w:r>
      <w:r w:rsidR="00FB7303">
        <w:rPr>
          <w:sz w:val="24"/>
          <w:szCs w:val="24"/>
        </w:rPr>
        <w:t>.</w:t>
      </w:r>
    </w:p>
    <w:p w:rsidR="008D5AF9" w:rsidRDefault="008D5AF9" w:rsidP="008D5AF9">
      <w:pPr>
        <w:rPr>
          <w:sz w:val="24"/>
          <w:szCs w:val="24"/>
        </w:rPr>
      </w:pPr>
    </w:p>
    <w:p w:rsidR="006A0B1D" w:rsidRDefault="006A0B1D" w:rsidP="008D5AF9">
      <w:pPr>
        <w:rPr>
          <w:sz w:val="24"/>
          <w:szCs w:val="24"/>
        </w:rPr>
      </w:pPr>
    </w:p>
    <w:p w:rsidR="006A0B1D" w:rsidRDefault="006A0B1D" w:rsidP="008D5AF9">
      <w:pPr>
        <w:rPr>
          <w:sz w:val="24"/>
          <w:szCs w:val="24"/>
        </w:rPr>
      </w:pPr>
    </w:p>
    <w:p w:rsidR="006A0B1D" w:rsidRDefault="006A0B1D" w:rsidP="008D5AF9">
      <w:pPr>
        <w:rPr>
          <w:sz w:val="24"/>
          <w:szCs w:val="24"/>
        </w:rPr>
      </w:pPr>
    </w:p>
    <w:p w:rsidR="006A0B1D" w:rsidRDefault="006A0B1D" w:rsidP="008D5AF9">
      <w:pPr>
        <w:rPr>
          <w:sz w:val="24"/>
          <w:szCs w:val="24"/>
        </w:rPr>
      </w:pPr>
    </w:p>
    <w:p w:rsidR="006A0B1D" w:rsidRDefault="006A0B1D" w:rsidP="008D5AF9">
      <w:pPr>
        <w:rPr>
          <w:sz w:val="24"/>
          <w:szCs w:val="24"/>
        </w:rPr>
      </w:pPr>
    </w:p>
    <w:p w:rsidR="006A0B1D" w:rsidRDefault="006A0B1D" w:rsidP="008D5AF9">
      <w:pPr>
        <w:rPr>
          <w:sz w:val="24"/>
          <w:szCs w:val="24"/>
        </w:rPr>
      </w:pPr>
    </w:p>
    <w:p w:rsidR="008D5AF9" w:rsidRDefault="008D5AF9" w:rsidP="008D5AF9">
      <w:pPr>
        <w:rPr>
          <w:sz w:val="24"/>
          <w:szCs w:val="24"/>
        </w:rPr>
      </w:pPr>
      <w:r w:rsidRPr="002F6BFC">
        <w:rPr>
          <w:sz w:val="24"/>
          <w:szCs w:val="24"/>
        </w:rPr>
        <w:t>Tolkning af serologi SSI</w:t>
      </w:r>
    </w:p>
    <w:tbl>
      <w:tblPr>
        <w:tblStyle w:val="Tabel-Gitter"/>
        <w:tblW w:w="10485" w:type="dxa"/>
        <w:tblLook w:val="04A0" w:firstRow="1" w:lastRow="0" w:firstColumn="1" w:lastColumn="0" w:noHBand="0" w:noVBand="1"/>
      </w:tblPr>
      <w:tblGrid>
        <w:gridCol w:w="1838"/>
        <w:gridCol w:w="1559"/>
        <w:gridCol w:w="1418"/>
        <w:gridCol w:w="1417"/>
        <w:gridCol w:w="1418"/>
        <w:gridCol w:w="1276"/>
        <w:gridCol w:w="1559"/>
      </w:tblGrid>
      <w:tr w:rsidR="008D5AF9" w:rsidTr="008D5AF9">
        <w:tc>
          <w:tcPr>
            <w:tcW w:w="7650" w:type="dxa"/>
            <w:gridSpan w:val="5"/>
          </w:tcPr>
          <w:p w:rsidR="008D5AF9" w:rsidRPr="000B2196" w:rsidRDefault="008D5AF9" w:rsidP="008D5AF9">
            <w:pPr>
              <w:rPr>
                <w:b/>
                <w:bCs/>
                <w:sz w:val="24"/>
                <w:szCs w:val="24"/>
              </w:rPr>
            </w:pPr>
            <w:r w:rsidRPr="000B2196">
              <w:rPr>
                <w:b/>
                <w:bCs/>
                <w:sz w:val="24"/>
                <w:szCs w:val="24"/>
              </w:rPr>
              <w:t xml:space="preserve">Tabel 8. </w:t>
            </w:r>
            <w:hyperlink r:id="rId9" w:history="1">
              <w:r w:rsidRPr="000B2196">
                <w:rPr>
                  <w:rStyle w:val="Hyperlink"/>
                  <w:b/>
                  <w:bCs/>
                  <w:color w:val="auto"/>
                  <w:sz w:val="24"/>
                  <w:szCs w:val="24"/>
                </w:rPr>
                <w:t>www.ssi.dk</w:t>
              </w:r>
            </w:hyperlink>
            <w:r w:rsidRPr="000B2196">
              <w:rPr>
                <w:b/>
                <w:bCs/>
                <w:sz w:val="24"/>
                <w:szCs w:val="24"/>
              </w:rPr>
              <w:t xml:space="preserve"> (modificeret)</w:t>
            </w:r>
          </w:p>
        </w:tc>
        <w:tc>
          <w:tcPr>
            <w:tcW w:w="2835" w:type="dxa"/>
            <w:gridSpan w:val="2"/>
          </w:tcPr>
          <w:p w:rsidR="008D5AF9" w:rsidRPr="000B2196" w:rsidRDefault="008D5AF9" w:rsidP="008D5AF9">
            <w:pPr>
              <w:jc w:val="center"/>
              <w:rPr>
                <w:b/>
                <w:bCs/>
                <w:sz w:val="24"/>
                <w:szCs w:val="24"/>
              </w:rPr>
            </w:pPr>
            <w:r>
              <w:rPr>
                <w:b/>
                <w:bCs/>
                <w:sz w:val="24"/>
                <w:szCs w:val="24"/>
              </w:rPr>
              <w:t>FTA-ABS</w:t>
            </w:r>
          </w:p>
        </w:tc>
      </w:tr>
      <w:tr w:rsidR="008D5AF9" w:rsidTr="008D5AF9">
        <w:tc>
          <w:tcPr>
            <w:tcW w:w="1838" w:type="dxa"/>
          </w:tcPr>
          <w:p w:rsidR="008D5AF9" w:rsidRPr="000B2196" w:rsidRDefault="008D5AF9" w:rsidP="008D5AF9">
            <w:pPr>
              <w:rPr>
                <w:b/>
                <w:bCs/>
                <w:sz w:val="24"/>
                <w:szCs w:val="24"/>
              </w:rPr>
            </w:pPr>
            <w:r w:rsidRPr="000B2196">
              <w:rPr>
                <w:b/>
                <w:bCs/>
                <w:sz w:val="24"/>
                <w:szCs w:val="24"/>
              </w:rPr>
              <w:t>Syfilisstadium</w:t>
            </w:r>
          </w:p>
        </w:tc>
        <w:tc>
          <w:tcPr>
            <w:tcW w:w="1559" w:type="dxa"/>
          </w:tcPr>
          <w:p w:rsidR="008D5AF9" w:rsidRPr="000B2196" w:rsidRDefault="008D5AF9" w:rsidP="008D5AF9">
            <w:pPr>
              <w:rPr>
                <w:b/>
                <w:bCs/>
                <w:sz w:val="24"/>
                <w:szCs w:val="24"/>
              </w:rPr>
            </w:pPr>
            <w:r w:rsidRPr="000B2196">
              <w:rPr>
                <w:b/>
                <w:bCs/>
                <w:sz w:val="24"/>
                <w:szCs w:val="24"/>
              </w:rPr>
              <w:t>WR</w:t>
            </w:r>
          </w:p>
        </w:tc>
        <w:tc>
          <w:tcPr>
            <w:tcW w:w="1418" w:type="dxa"/>
          </w:tcPr>
          <w:p w:rsidR="008D5AF9" w:rsidRPr="000B2196" w:rsidRDefault="008D5AF9" w:rsidP="008D5AF9">
            <w:pPr>
              <w:rPr>
                <w:b/>
                <w:bCs/>
                <w:sz w:val="24"/>
                <w:szCs w:val="24"/>
              </w:rPr>
            </w:pPr>
            <w:r w:rsidRPr="000B2196">
              <w:rPr>
                <w:b/>
                <w:bCs/>
                <w:sz w:val="24"/>
                <w:szCs w:val="24"/>
              </w:rPr>
              <w:t>RPR</w:t>
            </w:r>
          </w:p>
        </w:tc>
        <w:tc>
          <w:tcPr>
            <w:tcW w:w="1417" w:type="dxa"/>
          </w:tcPr>
          <w:p w:rsidR="008D5AF9" w:rsidRPr="000B2196" w:rsidRDefault="008D5AF9" w:rsidP="008D5AF9">
            <w:pPr>
              <w:rPr>
                <w:b/>
                <w:bCs/>
                <w:sz w:val="24"/>
                <w:szCs w:val="24"/>
              </w:rPr>
            </w:pPr>
            <w:r w:rsidRPr="000B2196">
              <w:rPr>
                <w:b/>
                <w:bCs/>
                <w:sz w:val="24"/>
                <w:szCs w:val="24"/>
              </w:rPr>
              <w:t>AF-M</w:t>
            </w:r>
          </w:p>
        </w:tc>
        <w:tc>
          <w:tcPr>
            <w:tcW w:w="1418" w:type="dxa"/>
          </w:tcPr>
          <w:p w:rsidR="008D5AF9" w:rsidRPr="000B2196" w:rsidRDefault="008D5AF9" w:rsidP="008D5AF9">
            <w:pPr>
              <w:rPr>
                <w:b/>
                <w:bCs/>
                <w:sz w:val="24"/>
                <w:szCs w:val="24"/>
              </w:rPr>
            </w:pPr>
            <w:r w:rsidRPr="000B2196">
              <w:rPr>
                <w:b/>
                <w:bCs/>
                <w:sz w:val="24"/>
                <w:szCs w:val="24"/>
              </w:rPr>
              <w:t>AF-G</w:t>
            </w:r>
          </w:p>
        </w:tc>
        <w:tc>
          <w:tcPr>
            <w:tcW w:w="1276" w:type="dxa"/>
          </w:tcPr>
          <w:p w:rsidR="008D5AF9" w:rsidRPr="000B2196" w:rsidRDefault="008D5AF9" w:rsidP="008D5AF9">
            <w:pPr>
              <w:rPr>
                <w:b/>
                <w:bCs/>
                <w:sz w:val="24"/>
                <w:szCs w:val="24"/>
              </w:rPr>
            </w:pPr>
            <w:r w:rsidRPr="000B2196">
              <w:rPr>
                <w:b/>
                <w:bCs/>
                <w:sz w:val="24"/>
                <w:szCs w:val="24"/>
              </w:rPr>
              <w:t>IgG</w:t>
            </w:r>
          </w:p>
        </w:tc>
        <w:tc>
          <w:tcPr>
            <w:tcW w:w="1559" w:type="dxa"/>
          </w:tcPr>
          <w:p w:rsidR="008D5AF9" w:rsidRPr="000B2196" w:rsidRDefault="008D5AF9" w:rsidP="008D5AF9">
            <w:pPr>
              <w:rPr>
                <w:b/>
                <w:bCs/>
                <w:sz w:val="24"/>
                <w:szCs w:val="24"/>
              </w:rPr>
            </w:pPr>
            <w:r w:rsidRPr="000B2196">
              <w:rPr>
                <w:b/>
                <w:bCs/>
                <w:sz w:val="24"/>
                <w:szCs w:val="24"/>
              </w:rPr>
              <w:t>IgM</w:t>
            </w:r>
          </w:p>
        </w:tc>
      </w:tr>
      <w:tr w:rsidR="008D5AF9" w:rsidTr="006A0B1D">
        <w:trPr>
          <w:trHeight w:val="769"/>
        </w:trPr>
        <w:tc>
          <w:tcPr>
            <w:tcW w:w="1838" w:type="dxa"/>
          </w:tcPr>
          <w:p w:rsidR="008D5AF9" w:rsidRDefault="008D5AF9" w:rsidP="006A0B1D">
            <w:pPr>
              <w:rPr>
                <w:sz w:val="24"/>
                <w:szCs w:val="24"/>
              </w:rPr>
            </w:pPr>
            <w:r>
              <w:rPr>
                <w:sz w:val="24"/>
                <w:szCs w:val="24"/>
              </w:rPr>
              <w:t>Inkubation</w:t>
            </w:r>
          </w:p>
        </w:tc>
        <w:tc>
          <w:tcPr>
            <w:tcW w:w="1559" w:type="dxa"/>
          </w:tcPr>
          <w:p w:rsidR="008D5AF9" w:rsidRDefault="008D5AF9" w:rsidP="008D5AF9">
            <w:pPr>
              <w:rPr>
                <w:sz w:val="24"/>
                <w:szCs w:val="24"/>
              </w:rPr>
            </w:pPr>
            <w:r>
              <w:rPr>
                <w:sz w:val="24"/>
                <w:szCs w:val="24"/>
              </w:rPr>
              <w:t>0</w:t>
            </w:r>
          </w:p>
        </w:tc>
        <w:tc>
          <w:tcPr>
            <w:tcW w:w="1418" w:type="dxa"/>
          </w:tcPr>
          <w:p w:rsidR="008D5AF9" w:rsidRDefault="008D5AF9" w:rsidP="008D5AF9">
            <w:pPr>
              <w:rPr>
                <w:sz w:val="24"/>
                <w:szCs w:val="24"/>
              </w:rPr>
            </w:pPr>
            <w:r>
              <w:rPr>
                <w:sz w:val="24"/>
                <w:szCs w:val="24"/>
              </w:rPr>
              <w:t>0</w:t>
            </w:r>
          </w:p>
        </w:tc>
        <w:tc>
          <w:tcPr>
            <w:tcW w:w="1417" w:type="dxa"/>
          </w:tcPr>
          <w:p w:rsidR="008D5AF9" w:rsidRDefault="008D5AF9" w:rsidP="008D5AF9">
            <w:pPr>
              <w:rPr>
                <w:sz w:val="24"/>
                <w:szCs w:val="24"/>
              </w:rPr>
            </w:pPr>
            <w:r>
              <w:rPr>
                <w:sz w:val="24"/>
                <w:szCs w:val="24"/>
              </w:rPr>
              <w:t>0</w:t>
            </w:r>
          </w:p>
        </w:tc>
        <w:tc>
          <w:tcPr>
            <w:tcW w:w="1418" w:type="dxa"/>
          </w:tcPr>
          <w:p w:rsidR="008D5AF9" w:rsidRDefault="008D5AF9" w:rsidP="008D5AF9">
            <w:pPr>
              <w:rPr>
                <w:sz w:val="24"/>
                <w:szCs w:val="24"/>
              </w:rPr>
            </w:pPr>
            <w:r>
              <w:rPr>
                <w:sz w:val="24"/>
                <w:szCs w:val="24"/>
              </w:rPr>
              <w:t>0</w:t>
            </w:r>
          </w:p>
        </w:tc>
        <w:tc>
          <w:tcPr>
            <w:tcW w:w="1276" w:type="dxa"/>
          </w:tcPr>
          <w:p w:rsidR="008D5AF9" w:rsidRDefault="008D5AF9" w:rsidP="008D5AF9">
            <w:pPr>
              <w:rPr>
                <w:sz w:val="24"/>
                <w:szCs w:val="24"/>
              </w:rPr>
            </w:pPr>
            <w:r>
              <w:rPr>
                <w:sz w:val="24"/>
                <w:szCs w:val="24"/>
              </w:rPr>
              <w:t>0</w:t>
            </w:r>
          </w:p>
        </w:tc>
        <w:tc>
          <w:tcPr>
            <w:tcW w:w="1559" w:type="dxa"/>
          </w:tcPr>
          <w:p w:rsidR="008D5AF9" w:rsidRDefault="008D5AF9" w:rsidP="008D5AF9">
            <w:pPr>
              <w:rPr>
                <w:sz w:val="24"/>
                <w:szCs w:val="24"/>
              </w:rPr>
            </w:pPr>
            <w:r>
              <w:rPr>
                <w:sz w:val="24"/>
                <w:szCs w:val="24"/>
              </w:rPr>
              <w:t>0</w:t>
            </w:r>
          </w:p>
        </w:tc>
      </w:tr>
      <w:tr w:rsidR="008D5AF9" w:rsidTr="008D5AF9">
        <w:tc>
          <w:tcPr>
            <w:tcW w:w="1838" w:type="dxa"/>
          </w:tcPr>
          <w:p w:rsidR="008D5AF9" w:rsidRDefault="008D5AF9" w:rsidP="008D5AF9">
            <w:pPr>
              <w:rPr>
                <w:sz w:val="24"/>
                <w:szCs w:val="24"/>
              </w:rPr>
            </w:pPr>
            <w:r>
              <w:rPr>
                <w:sz w:val="24"/>
                <w:szCs w:val="24"/>
              </w:rPr>
              <w:t>Primær 1. halvdel</w:t>
            </w:r>
          </w:p>
        </w:tc>
        <w:tc>
          <w:tcPr>
            <w:tcW w:w="1559" w:type="dxa"/>
          </w:tcPr>
          <w:p w:rsidR="008D5AF9" w:rsidRDefault="008D5AF9" w:rsidP="008D5AF9">
            <w:pPr>
              <w:rPr>
                <w:sz w:val="24"/>
                <w:szCs w:val="24"/>
              </w:rPr>
            </w:pPr>
            <w:r>
              <w:rPr>
                <w:sz w:val="24"/>
                <w:szCs w:val="24"/>
              </w:rPr>
              <w:t>0</w:t>
            </w:r>
          </w:p>
        </w:tc>
        <w:tc>
          <w:tcPr>
            <w:tcW w:w="1418" w:type="dxa"/>
          </w:tcPr>
          <w:p w:rsidR="008D5AF9" w:rsidRDefault="008D5AF9" w:rsidP="008D5AF9">
            <w:pPr>
              <w:rPr>
                <w:sz w:val="24"/>
                <w:szCs w:val="24"/>
              </w:rPr>
            </w:pPr>
            <w:r>
              <w:rPr>
                <w:sz w:val="24"/>
                <w:szCs w:val="24"/>
              </w:rPr>
              <w:t>0</w:t>
            </w:r>
          </w:p>
        </w:tc>
        <w:tc>
          <w:tcPr>
            <w:tcW w:w="1417" w:type="dxa"/>
          </w:tcPr>
          <w:p w:rsidR="008D5AF9" w:rsidRDefault="008D5AF9" w:rsidP="008D5AF9">
            <w:pPr>
              <w:rPr>
                <w:sz w:val="24"/>
                <w:szCs w:val="24"/>
              </w:rPr>
            </w:pPr>
            <w:r>
              <w:rPr>
                <w:sz w:val="24"/>
                <w:szCs w:val="24"/>
              </w:rPr>
              <w:t>0 – 3</w:t>
            </w:r>
          </w:p>
        </w:tc>
        <w:tc>
          <w:tcPr>
            <w:tcW w:w="1418" w:type="dxa"/>
          </w:tcPr>
          <w:p w:rsidR="008D5AF9" w:rsidRDefault="008D5AF9" w:rsidP="008D5AF9">
            <w:pPr>
              <w:rPr>
                <w:sz w:val="24"/>
                <w:szCs w:val="24"/>
              </w:rPr>
            </w:pPr>
            <w:r>
              <w:rPr>
                <w:sz w:val="24"/>
                <w:szCs w:val="24"/>
              </w:rPr>
              <w:t>0</w:t>
            </w:r>
          </w:p>
        </w:tc>
        <w:tc>
          <w:tcPr>
            <w:tcW w:w="1276" w:type="dxa"/>
          </w:tcPr>
          <w:p w:rsidR="008D5AF9" w:rsidRDefault="008D5AF9" w:rsidP="008D5AF9">
            <w:pPr>
              <w:rPr>
                <w:sz w:val="24"/>
                <w:szCs w:val="24"/>
              </w:rPr>
            </w:pPr>
            <w:r>
              <w:rPr>
                <w:sz w:val="24"/>
                <w:szCs w:val="24"/>
              </w:rPr>
              <w:t>0</w:t>
            </w:r>
          </w:p>
        </w:tc>
        <w:tc>
          <w:tcPr>
            <w:tcW w:w="1559" w:type="dxa"/>
          </w:tcPr>
          <w:p w:rsidR="008D5AF9" w:rsidRDefault="008D5AF9" w:rsidP="008D5AF9">
            <w:pPr>
              <w:rPr>
                <w:sz w:val="24"/>
                <w:szCs w:val="24"/>
              </w:rPr>
            </w:pPr>
            <w:r>
              <w:rPr>
                <w:sz w:val="24"/>
                <w:szCs w:val="24"/>
              </w:rPr>
              <w:t>0 – 1+</w:t>
            </w:r>
          </w:p>
        </w:tc>
      </w:tr>
      <w:tr w:rsidR="008D5AF9" w:rsidTr="008D5AF9">
        <w:tc>
          <w:tcPr>
            <w:tcW w:w="1838" w:type="dxa"/>
          </w:tcPr>
          <w:p w:rsidR="008D5AF9" w:rsidRDefault="008D5AF9" w:rsidP="008D5AF9">
            <w:pPr>
              <w:rPr>
                <w:sz w:val="24"/>
                <w:szCs w:val="24"/>
              </w:rPr>
            </w:pPr>
            <w:r>
              <w:rPr>
                <w:sz w:val="24"/>
                <w:szCs w:val="24"/>
              </w:rPr>
              <w:t>Primær 2. halvdel</w:t>
            </w:r>
          </w:p>
        </w:tc>
        <w:tc>
          <w:tcPr>
            <w:tcW w:w="1559" w:type="dxa"/>
          </w:tcPr>
          <w:p w:rsidR="008D5AF9" w:rsidRDefault="008D5AF9" w:rsidP="008D5AF9">
            <w:pPr>
              <w:rPr>
                <w:sz w:val="24"/>
                <w:szCs w:val="24"/>
              </w:rPr>
            </w:pPr>
            <w:r>
              <w:rPr>
                <w:sz w:val="24"/>
                <w:szCs w:val="24"/>
              </w:rPr>
              <w:t>0 – 10</w:t>
            </w:r>
          </w:p>
        </w:tc>
        <w:tc>
          <w:tcPr>
            <w:tcW w:w="1418" w:type="dxa"/>
          </w:tcPr>
          <w:p w:rsidR="008D5AF9" w:rsidRDefault="008D5AF9" w:rsidP="008D5AF9">
            <w:pPr>
              <w:rPr>
                <w:sz w:val="24"/>
                <w:szCs w:val="24"/>
              </w:rPr>
            </w:pPr>
            <w:r>
              <w:rPr>
                <w:sz w:val="24"/>
                <w:szCs w:val="24"/>
              </w:rPr>
              <w:t>0 – 8</w:t>
            </w:r>
          </w:p>
        </w:tc>
        <w:tc>
          <w:tcPr>
            <w:tcW w:w="1417" w:type="dxa"/>
          </w:tcPr>
          <w:p w:rsidR="008D5AF9" w:rsidRDefault="008D5AF9" w:rsidP="008D5AF9">
            <w:pPr>
              <w:rPr>
                <w:sz w:val="24"/>
                <w:szCs w:val="24"/>
              </w:rPr>
            </w:pPr>
            <w:r>
              <w:rPr>
                <w:sz w:val="24"/>
                <w:szCs w:val="24"/>
              </w:rPr>
              <w:t>2 – 8</w:t>
            </w:r>
          </w:p>
        </w:tc>
        <w:tc>
          <w:tcPr>
            <w:tcW w:w="1418" w:type="dxa"/>
          </w:tcPr>
          <w:p w:rsidR="008D5AF9" w:rsidRDefault="008D5AF9" w:rsidP="008D5AF9">
            <w:pPr>
              <w:rPr>
                <w:sz w:val="24"/>
                <w:szCs w:val="24"/>
              </w:rPr>
            </w:pPr>
            <w:r>
              <w:rPr>
                <w:sz w:val="24"/>
                <w:szCs w:val="24"/>
              </w:rPr>
              <w:t>0 – 8</w:t>
            </w:r>
          </w:p>
        </w:tc>
        <w:tc>
          <w:tcPr>
            <w:tcW w:w="1276" w:type="dxa"/>
          </w:tcPr>
          <w:p w:rsidR="008D5AF9" w:rsidRDefault="008D5AF9" w:rsidP="008D5AF9">
            <w:pPr>
              <w:rPr>
                <w:sz w:val="24"/>
                <w:szCs w:val="24"/>
              </w:rPr>
            </w:pPr>
            <w:r>
              <w:rPr>
                <w:sz w:val="24"/>
                <w:szCs w:val="24"/>
              </w:rPr>
              <w:t>0 – 3+</w:t>
            </w:r>
          </w:p>
        </w:tc>
        <w:tc>
          <w:tcPr>
            <w:tcW w:w="1559" w:type="dxa"/>
          </w:tcPr>
          <w:p w:rsidR="008D5AF9" w:rsidRDefault="008D5AF9" w:rsidP="008D5AF9">
            <w:pPr>
              <w:rPr>
                <w:sz w:val="24"/>
                <w:szCs w:val="24"/>
              </w:rPr>
            </w:pPr>
            <w:r>
              <w:rPr>
                <w:sz w:val="24"/>
                <w:szCs w:val="24"/>
              </w:rPr>
              <w:t>1+ – 2+</w:t>
            </w:r>
          </w:p>
        </w:tc>
      </w:tr>
      <w:tr w:rsidR="008D5AF9" w:rsidTr="008D5AF9">
        <w:tc>
          <w:tcPr>
            <w:tcW w:w="1838" w:type="dxa"/>
          </w:tcPr>
          <w:p w:rsidR="008D5AF9" w:rsidRDefault="008D5AF9" w:rsidP="008D5AF9">
            <w:pPr>
              <w:rPr>
                <w:sz w:val="24"/>
                <w:szCs w:val="24"/>
              </w:rPr>
            </w:pPr>
            <w:r>
              <w:rPr>
                <w:sz w:val="24"/>
                <w:szCs w:val="24"/>
              </w:rPr>
              <w:t>Sekundær og tidlig latent</w:t>
            </w:r>
          </w:p>
        </w:tc>
        <w:tc>
          <w:tcPr>
            <w:tcW w:w="1559" w:type="dxa"/>
          </w:tcPr>
          <w:p w:rsidR="008D5AF9" w:rsidRDefault="008D5AF9" w:rsidP="008D5AF9">
            <w:pPr>
              <w:rPr>
                <w:sz w:val="24"/>
                <w:szCs w:val="24"/>
              </w:rPr>
            </w:pPr>
            <w:r>
              <w:rPr>
                <w:sz w:val="24"/>
                <w:szCs w:val="24"/>
              </w:rPr>
              <w:t>8 – 15</w:t>
            </w:r>
          </w:p>
        </w:tc>
        <w:tc>
          <w:tcPr>
            <w:tcW w:w="1418" w:type="dxa"/>
          </w:tcPr>
          <w:p w:rsidR="008D5AF9" w:rsidRDefault="008D5AF9" w:rsidP="008D5AF9">
            <w:pPr>
              <w:rPr>
                <w:sz w:val="24"/>
                <w:szCs w:val="24"/>
              </w:rPr>
            </w:pPr>
            <w:r>
              <w:rPr>
                <w:sz w:val="24"/>
                <w:szCs w:val="24"/>
              </w:rPr>
              <w:t>4 – 256</w:t>
            </w:r>
          </w:p>
        </w:tc>
        <w:tc>
          <w:tcPr>
            <w:tcW w:w="1417" w:type="dxa"/>
          </w:tcPr>
          <w:p w:rsidR="008D5AF9" w:rsidRDefault="008D5AF9" w:rsidP="008D5AF9">
            <w:pPr>
              <w:rPr>
                <w:sz w:val="24"/>
                <w:szCs w:val="24"/>
              </w:rPr>
            </w:pPr>
            <w:r>
              <w:rPr>
                <w:sz w:val="24"/>
                <w:szCs w:val="24"/>
              </w:rPr>
              <w:t>8 – 0</w:t>
            </w:r>
          </w:p>
        </w:tc>
        <w:tc>
          <w:tcPr>
            <w:tcW w:w="1418" w:type="dxa"/>
          </w:tcPr>
          <w:p w:rsidR="008D5AF9" w:rsidRDefault="008D5AF9" w:rsidP="008D5AF9">
            <w:pPr>
              <w:rPr>
                <w:sz w:val="24"/>
                <w:szCs w:val="24"/>
              </w:rPr>
            </w:pPr>
            <w:r>
              <w:rPr>
                <w:sz w:val="24"/>
                <w:szCs w:val="24"/>
              </w:rPr>
              <w:t>6 – 16</w:t>
            </w:r>
          </w:p>
        </w:tc>
        <w:tc>
          <w:tcPr>
            <w:tcW w:w="1276" w:type="dxa"/>
          </w:tcPr>
          <w:p w:rsidR="008D5AF9" w:rsidRDefault="008D5AF9" w:rsidP="008D5AF9">
            <w:pPr>
              <w:rPr>
                <w:sz w:val="24"/>
                <w:szCs w:val="24"/>
              </w:rPr>
            </w:pPr>
            <w:r>
              <w:rPr>
                <w:sz w:val="24"/>
                <w:szCs w:val="24"/>
              </w:rPr>
              <w:t xml:space="preserve">3+ - 4+ </w:t>
            </w:r>
          </w:p>
        </w:tc>
        <w:tc>
          <w:tcPr>
            <w:tcW w:w="1559" w:type="dxa"/>
          </w:tcPr>
          <w:p w:rsidR="008D5AF9" w:rsidRDefault="008D5AF9" w:rsidP="008D5AF9">
            <w:pPr>
              <w:rPr>
                <w:sz w:val="24"/>
                <w:szCs w:val="24"/>
              </w:rPr>
            </w:pPr>
            <w:r>
              <w:rPr>
                <w:sz w:val="24"/>
                <w:szCs w:val="24"/>
              </w:rPr>
              <w:t>2+ - 0</w:t>
            </w:r>
          </w:p>
        </w:tc>
      </w:tr>
      <w:tr w:rsidR="008D5AF9" w:rsidTr="008D5AF9">
        <w:tc>
          <w:tcPr>
            <w:tcW w:w="1838" w:type="dxa"/>
          </w:tcPr>
          <w:p w:rsidR="008D5AF9" w:rsidRDefault="008D5AF9" w:rsidP="006A0B1D">
            <w:pPr>
              <w:rPr>
                <w:sz w:val="24"/>
                <w:szCs w:val="24"/>
              </w:rPr>
            </w:pPr>
            <w:r>
              <w:rPr>
                <w:sz w:val="24"/>
                <w:szCs w:val="24"/>
              </w:rPr>
              <w:t>Sen latent</w:t>
            </w:r>
          </w:p>
        </w:tc>
        <w:tc>
          <w:tcPr>
            <w:tcW w:w="1559" w:type="dxa"/>
          </w:tcPr>
          <w:p w:rsidR="008D5AF9" w:rsidRDefault="008D5AF9" w:rsidP="008D5AF9">
            <w:pPr>
              <w:rPr>
                <w:sz w:val="24"/>
                <w:szCs w:val="24"/>
              </w:rPr>
            </w:pPr>
            <w:r>
              <w:rPr>
                <w:sz w:val="24"/>
                <w:szCs w:val="24"/>
              </w:rPr>
              <w:t>9 – 1</w:t>
            </w:r>
          </w:p>
        </w:tc>
        <w:tc>
          <w:tcPr>
            <w:tcW w:w="1418" w:type="dxa"/>
          </w:tcPr>
          <w:p w:rsidR="008D5AF9" w:rsidRDefault="008D5AF9" w:rsidP="008D5AF9">
            <w:pPr>
              <w:rPr>
                <w:sz w:val="24"/>
                <w:szCs w:val="24"/>
              </w:rPr>
            </w:pPr>
            <w:r>
              <w:rPr>
                <w:sz w:val="24"/>
                <w:szCs w:val="24"/>
              </w:rPr>
              <w:t>16 – 2</w:t>
            </w:r>
          </w:p>
        </w:tc>
        <w:tc>
          <w:tcPr>
            <w:tcW w:w="1417" w:type="dxa"/>
          </w:tcPr>
          <w:p w:rsidR="008D5AF9" w:rsidRDefault="008D5AF9" w:rsidP="008D5AF9">
            <w:pPr>
              <w:rPr>
                <w:sz w:val="24"/>
                <w:szCs w:val="24"/>
              </w:rPr>
            </w:pPr>
            <w:r>
              <w:rPr>
                <w:sz w:val="24"/>
                <w:szCs w:val="24"/>
              </w:rPr>
              <w:t>0</w:t>
            </w:r>
          </w:p>
        </w:tc>
        <w:tc>
          <w:tcPr>
            <w:tcW w:w="1418" w:type="dxa"/>
          </w:tcPr>
          <w:p w:rsidR="008D5AF9" w:rsidRDefault="008D5AF9" w:rsidP="008D5AF9">
            <w:pPr>
              <w:rPr>
                <w:sz w:val="24"/>
                <w:szCs w:val="24"/>
              </w:rPr>
            </w:pPr>
            <w:r>
              <w:rPr>
                <w:sz w:val="24"/>
                <w:szCs w:val="24"/>
              </w:rPr>
              <w:t>9 – 3</w:t>
            </w:r>
          </w:p>
        </w:tc>
        <w:tc>
          <w:tcPr>
            <w:tcW w:w="1276" w:type="dxa"/>
          </w:tcPr>
          <w:p w:rsidR="008D5AF9" w:rsidRDefault="008D5AF9" w:rsidP="008D5AF9">
            <w:pPr>
              <w:rPr>
                <w:sz w:val="24"/>
                <w:szCs w:val="24"/>
              </w:rPr>
            </w:pPr>
            <w:r>
              <w:rPr>
                <w:sz w:val="24"/>
                <w:szCs w:val="24"/>
              </w:rPr>
              <w:t>3+ - 4+</w:t>
            </w:r>
          </w:p>
        </w:tc>
        <w:tc>
          <w:tcPr>
            <w:tcW w:w="1559" w:type="dxa"/>
          </w:tcPr>
          <w:p w:rsidR="008D5AF9" w:rsidRDefault="008D5AF9" w:rsidP="008D5AF9">
            <w:pPr>
              <w:rPr>
                <w:sz w:val="24"/>
                <w:szCs w:val="24"/>
              </w:rPr>
            </w:pPr>
            <w:r>
              <w:rPr>
                <w:sz w:val="24"/>
                <w:szCs w:val="24"/>
              </w:rPr>
              <w:t>0</w:t>
            </w:r>
          </w:p>
        </w:tc>
      </w:tr>
      <w:tr w:rsidR="008D5AF9" w:rsidTr="008D5AF9">
        <w:tc>
          <w:tcPr>
            <w:tcW w:w="1838" w:type="dxa"/>
          </w:tcPr>
          <w:p w:rsidR="008D5AF9" w:rsidRDefault="008D5AF9" w:rsidP="006A0B1D">
            <w:pPr>
              <w:rPr>
                <w:sz w:val="24"/>
                <w:szCs w:val="24"/>
              </w:rPr>
            </w:pPr>
            <w:r>
              <w:rPr>
                <w:sz w:val="24"/>
                <w:szCs w:val="24"/>
              </w:rPr>
              <w:t>Sen neurosyfilis</w:t>
            </w:r>
          </w:p>
        </w:tc>
        <w:tc>
          <w:tcPr>
            <w:tcW w:w="1559" w:type="dxa"/>
          </w:tcPr>
          <w:p w:rsidR="008D5AF9" w:rsidRDefault="008D5AF9" w:rsidP="008D5AF9">
            <w:pPr>
              <w:rPr>
                <w:sz w:val="24"/>
                <w:szCs w:val="24"/>
              </w:rPr>
            </w:pPr>
            <w:r>
              <w:rPr>
                <w:rFonts w:cstheme="minorHAnsi"/>
                <w:sz w:val="24"/>
                <w:szCs w:val="24"/>
              </w:rPr>
              <w:t>≥</w:t>
            </w:r>
            <w:r>
              <w:rPr>
                <w:sz w:val="24"/>
                <w:szCs w:val="24"/>
              </w:rPr>
              <w:t>15</w:t>
            </w:r>
          </w:p>
        </w:tc>
        <w:tc>
          <w:tcPr>
            <w:tcW w:w="1418" w:type="dxa"/>
          </w:tcPr>
          <w:p w:rsidR="008D5AF9" w:rsidRDefault="008D5AF9" w:rsidP="008D5AF9">
            <w:pPr>
              <w:rPr>
                <w:sz w:val="24"/>
                <w:szCs w:val="24"/>
              </w:rPr>
            </w:pPr>
            <w:r>
              <w:rPr>
                <w:rFonts w:cstheme="minorHAnsi"/>
                <w:sz w:val="24"/>
                <w:szCs w:val="24"/>
              </w:rPr>
              <w:t>≥</w:t>
            </w:r>
            <w:r>
              <w:rPr>
                <w:sz w:val="24"/>
                <w:szCs w:val="24"/>
              </w:rPr>
              <w:t>256</w:t>
            </w:r>
          </w:p>
        </w:tc>
        <w:tc>
          <w:tcPr>
            <w:tcW w:w="1417" w:type="dxa"/>
          </w:tcPr>
          <w:p w:rsidR="008D5AF9" w:rsidRDefault="008D5AF9" w:rsidP="008D5AF9">
            <w:pPr>
              <w:rPr>
                <w:sz w:val="24"/>
                <w:szCs w:val="24"/>
              </w:rPr>
            </w:pPr>
            <w:r>
              <w:rPr>
                <w:sz w:val="24"/>
                <w:szCs w:val="24"/>
              </w:rPr>
              <w:t>0</w:t>
            </w:r>
          </w:p>
        </w:tc>
        <w:tc>
          <w:tcPr>
            <w:tcW w:w="1418" w:type="dxa"/>
          </w:tcPr>
          <w:p w:rsidR="008D5AF9" w:rsidRDefault="008D5AF9" w:rsidP="008D5AF9">
            <w:pPr>
              <w:rPr>
                <w:sz w:val="24"/>
                <w:szCs w:val="24"/>
              </w:rPr>
            </w:pPr>
            <w:r>
              <w:rPr>
                <w:rFonts w:cstheme="minorHAnsi"/>
                <w:sz w:val="24"/>
                <w:szCs w:val="24"/>
              </w:rPr>
              <w:t>≥</w:t>
            </w:r>
            <w:r>
              <w:rPr>
                <w:sz w:val="24"/>
                <w:szCs w:val="24"/>
              </w:rPr>
              <w:t>16</w:t>
            </w:r>
          </w:p>
        </w:tc>
        <w:tc>
          <w:tcPr>
            <w:tcW w:w="1276" w:type="dxa"/>
          </w:tcPr>
          <w:p w:rsidR="008D5AF9" w:rsidRDefault="008D5AF9" w:rsidP="008D5AF9">
            <w:pPr>
              <w:rPr>
                <w:sz w:val="24"/>
                <w:szCs w:val="24"/>
              </w:rPr>
            </w:pPr>
            <w:r>
              <w:rPr>
                <w:sz w:val="24"/>
                <w:szCs w:val="24"/>
              </w:rPr>
              <w:t>3+ - 4+</w:t>
            </w:r>
          </w:p>
        </w:tc>
        <w:tc>
          <w:tcPr>
            <w:tcW w:w="1559" w:type="dxa"/>
          </w:tcPr>
          <w:p w:rsidR="008D5AF9" w:rsidRDefault="008D5AF9" w:rsidP="008D5AF9">
            <w:pPr>
              <w:rPr>
                <w:sz w:val="24"/>
                <w:szCs w:val="24"/>
              </w:rPr>
            </w:pPr>
            <w:r>
              <w:rPr>
                <w:sz w:val="24"/>
                <w:szCs w:val="24"/>
              </w:rPr>
              <w:t>0</w:t>
            </w:r>
          </w:p>
        </w:tc>
      </w:tr>
      <w:tr w:rsidR="008D5AF9" w:rsidTr="008D5AF9">
        <w:tc>
          <w:tcPr>
            <w:tcW w:w="1838" w:type="dxa"/>
          </w:tcPr>
          <w:p w:rsidR="008D5AF9" w:rsidRDefault="008D5AF9" w:rsidP="008D5AF9">
            <w:pPr>
              <w:rPr>
                <w:sz w:val="24"/>
                <w:szCs w:val="24"/>
              </w:rPr>
            </w:pPr>
            <w:r>
              <w:rPr>
                <w:sz w:val="24"/>
                <w:szCs w:val="24"/>
              </w:rPr>
              <w:t>Behandlet primær</w:t>
            </w:r>
          </w:p>
        </w:tc>
        <w:tc>
          <w:tcPr>
            <w:tcW w:w="4394" w:type="dxa"/>
            <w:gridSpan w:val="3"/>
          </w:tcPr>
          <w:p w:rsidR="008D5AF9" w:rsidRDefault="008D5AF9" w:rsidP="008D5AF9">
            <w:pPr>
              <w:rPr>
                <w:sz w:val="24"/>
                <w:szCs w:val="24"/>
              </w:rPr>
            </w:pPr>
            <w:r>
              <w:rPr>
                <w:sz w:val="24"/>
                <w:szCs w:val="24"/>
              </w:rPr>
              <w:t>Negativ efter 1 – 3 mdr.</w:t>
            </w:r>
          </w:p>
        </w:tc>
        <w:tc>
          <w:tcPr>
            <w:tcW w:w="2694" w:type="dxa"/>
            <w:gridSpan w:val="2"/>
          </w:tcPr>
          <w:p w:rsidR="008D5AF9" w:rsidRDefault="008D5AF9" w:rsidP="008D5AF9">
            <w:pPr>
              <w:rPr>
                <w:sz w:val="24"/>
                <w:szCs w:val="24"/>
              </w:rPr>
            </w:pPr>
            <w:r>
              <w:rPr>
                <w:sz w:val="24"/>
                <w:szCs w:val="24"/>
              </w:rPr>
              <w:t>Kan blive negative</w:t>
            </w:r>
          </w:p>
        </w:tc>
        <w:tc>
          <w:tcPr>
            <w:tcW w:w="1559" w:type="dxa"/>
          </w:tcPr>
          <w:p w:rsidR="008D5AF9" w:rsidRDefault="008D5AF9" w:rsidP="008D5AF9">
            <w:pPr>
              <w:rPr>
                <w:sz w:val="24"/>
                <w:szCs w:val="24"/>
              </w:rPr>
            </w:pPr>
          </w:p>
        </w:tc>
      </w:tr>
      <w:tr w:rsidR="008D5AF9" w:rsidTr="008D5AF9">
        <w:tc>
          <w:tcPr>
            <w:tcW w:w="1838" w:type="dxa"/>
          </w:tcPr>
          <w:p w:rsidR="008D5AF9" w:rsidRDefault="008D5AF9" w:rsidP="008D5AF9">
            <w:pPr>
              <w:rPr>
                <w:sz w:val="24"/>
                <w:szCs w:val="24"/>
              </w:rPr>
            </w:pPr>
            <w:r>
              <w:rPr>
                <w:sz w:val="24"/>
                <w:szCs w:val="24"/>
              </w:rPr>
              <w:t>Behandlet sekundær + tidlig latent</w:t>
            </w:r>
          </w:p>
        </w:tc>
        <w:tc>
          <w:tcPr>
            <w:tcW w:w="4394" w:type="dxa"/>
            <w:gridSpan w:val="3"/>
          </w:tcPr>
          <w:p w:rsidR="008D5AF9" w:rsidRDefault="008D5AF9" w:rsidP="008D5AF9">
            <w:pPr>
              <w:rPr>
                <w:sz w:val="24"/>
                <w:szCs w:val="24"/>
              </w:rPr>
            </w:pPr>
            <w:r>
              <w:rPr>
                <w:sz w:val="24"/>
                <w:szCs w:val="24"/>
              </w:rPr>
              <w:t>Negativ efter 3 – 6 mdr.</w:t>
            </w:r>
          </w:p>
          <w:p w:rsidR="008D5AF9" w:rsidRDefault="008D5AF9" w:rsidP="008D5AF9">
            <w:pPr>
              <w:rPr>
                <w:sz w:val="24"/>
                <w:szCs w:val="24"/>
              </w:rPr>
            </w:pPr>
            <w:r>
              <w:rPr>
                <w:sz w:val="24"/>
                <w:szCs w:val="24"/>
              </w:rPr>
              <w:t>(HIV-positive op til 12 mdr.)</w:t>
            </w:r>
          </w:p>
        </w:tc>
        <w:tc>
          <w:tcPr>
            <w:tcW w:w="2694" w:type="dxa"/>
            <w:gridSpan w:val="2"/>
          </w:tcPr>
          <w:p w:rsidR="008D5AF9" w:rsidRDefault="008D5AF9" w:rsidP="008D5AF9">
            <w:pPr>
              <w:rPr>
                <w:sz w:val="24"/>
                <w:szCs w:val="24"/>
              </w:rPr>
            </w:pPr>
            <w:r>
              <w:rPr>
                <w:sz w:val="24"/>
                <w:szCs w:val="24"/>
              </w:rPr>
              <w:t>Forbliver ofte positive i over 10 år</w:t>
            </w:r>
          </w:p>
        </w:tc>
        <w:tc>
          <w:tcPr>
            <w:tcW w:w="1559" w:type="dxa"/>
          </w:tcPr>
          <w:p w:rsidR="008D5AF9" w:rsidRDefault="008D5AF9" w:rsidP="008D5AF9">
            <w:pPr>
              <w:rPr>
                <w:sz w:val="24"/>
                <w:szCs w:val="24"/>
              </w:rPr>
            </w:pPr>
          </w:p>
        </w:tc>
      </w:tr>
      <w:tr w:rsidR="008D5AF9" w:rsidTr="008D5AF9">
        <w:tc>
          <w:tcPr>
            <w:tcW w:w="1838" w:type="dxa"/>
          </w:tcPr>
          <w:p w:rsidR="008D5AF9" w:rsidRDefault="008D5AF9" w:rsidP="008D5AF9">
            <w:pPr>
              <w:rPr>
                <w:sz w:val="24"/>
                <w:szCs w:val="24"/>
              </w:rPr>
            </w:pPr>
            <w:r>
              <w:rPr>
                <w:sz w:val="24"/>
                <w:szCs w:val="24"/>
              </w:rPr>
              <w:t>Behandlet tertiær</w:t>
            </w:r>
          </w:p>
        </w:tc>
        <w:tc>
          <w:tcPr>
            <w:tcW w:w="4394" w:type="dxa"/>
            <w:gridSpan w:val="3"/>
          </w:tcPr>
          <w:p w:rsidR="008D5AF9" w:rsidRDefault="008D5AF9" w:rsidP="008D5AF9">
            <w:pPr>
              <w:rPr>
                <w:sz w:val="24"/>
                <w:szCs w:val="24"/>
              </w:rPr>
            </w:pPr>
            <w:r>
              <w:rPr>
                <w:sz w:val="24"/>
                <w:szCs w:val="24"/>
              </w:rPr>
              <w:t>Negativ efter nogle år</w:t>
            </w:r>
          </w:p>
        </w:tc>
        <w:tc>
          <w:tcPr>
            <w:tcW w:w="2694" w:type="dxa"/>
            <w:gridSpan w:val="2"/>
          </w:tcPr>
          <w:p w:rsidR="008D5AF9" w:rsidRDefault="008D5AF9" w:rsidP="008D5AF9">
            <w:pPr>
              <w:rPr>
                <w:sz w:val="24"/>
                <w:szCs w:val="24"/>
              </w:rPr>
            </w:pPr>
            <w:r>
              <w:rPr>
                <w:sz w:val="24"/>
                <w:szCs w:val="24"/>
              </w:rPr>
              <w:t>Forbliver ofte positive i over 10 år</w:t>
            </w:r>
          </w:p>
        </w:tc>
        <w:tc>
          <w:tcPr>
            <w:tcW w:w="1559" w:type="dxa"/>
          </w:tcPr>
          <w:p w:rsidR="008D5AF9" w:rsidRDefault="008D5AF9" w:rsidP="008D5AF9">
            <w:pPr>
              <w:rPr>
                <w:sz w:val="24"/>
                <w:szCs w:val="24"/>
              </w:rPr>
            </w:pPr>
          </w:p>
        </w:tc>
      </w:tr>
      <w:tr w:rsidR="008D5AF9" w:rsidTr="008D5AF9">
        <w:tc>
          <w:tcPr>
            <w:tcW w:w="1838" w:type="dxa"/>
          </w:tcPr>
          <w:p w:rsidR="008D5AF9" w:rsidRDefault="008D5AF9" w:rsidP="008D5AF9">
            <w:pPr>
              <w:rPr>
                <w:sz w:val="24"/>
                <w:szCs w:val="24"/>
              </w:rPr>
            </w:pPr>
            <w:r>
              <w:rPr>
                <w:sz w:val="24"/>
                <w:szCs w:val="24"/>
              </w:rPr>
              <w:t>Insufficient behandlet</w:t>
            </w:r>
          </w:p>
        </w:tc>
        <w:tc>
          <w:tcPr>
            <w:tcW w:w="4394" w:type="dxa"/>
            <w:gridSpan w:val="3"/>
          </w:tcPr>
          <w:p w:rsidR="008D5AF9" w:rsidRDefault="008D5AF9" w:rsidP="008D5AF9">
            <w:pPr>
              <w:rPr>
                <w:sz w:val="24"/>
                <w:szCs w:val="24"/>
              </w:rPr>
            </w:pPr>
            <w:r>
              <w:rPr>
                <w:sz w:val="24"/>
                <w:szCs w:val="24"/>
              </w:rPr>
              <w:t>Kan blive negativ men bliver positiv igen (IgG)</w:t>
            </w:r>
          </w:p>
        </w:tc>
        <w:tc>
          <w:tcPr>
            <w:tcW w:w="4253" w:type="dxa"/>
            <w:gridSpan w:val="3"/>
          </w:tcPr>
          <w:p w:rsidR="008D5AF9" w:rsidRDefault="008D5AF9" w:rsidP="008D5AF9">
            <w:pPr>
              <w:rPr>
                <w:sz w:val="24"/>
                <w:szCs w:val="24"/>
              </w:rPr>
            </w:pPr>
          </w:p>
        </w:tc>
      </w:tr>
      <w:tr w:rsidR="008D5AF9" w:rsidTr="008D5AF9">
        <w:tc>
          <w:tcPr>
            <w:tcW w:w="1838" w:type="dxa"/>
          </w:tcPr>
          <w:p w:rsidR="008D5AF9" w:rsidRDefault="008D5AF9" w:rsidP="008D5AF9">
            <w:pPr>
              <w:rPr>
                <w:sz w:val="24"/>
                <w:szCs w:val="24"/>
              </w:rPr>
            </w:pPr>
            <w:r>
              <w:rPr>
                <w:sz w:val="24"/>
                <w:szCs w:val="24"/>
              </w:rPr>
              <w:t>Reinfektioner</w:t>
            </w:r>
          </w:p>
        </w:tc>
        <w:tc>
          <w:tcPr>
            <w:tcW w:w="8647" w:type="dxa"/>
            <w:gridSpan w:val="6"/>
          </w:tcPr>
          <w:p w:rsidR="008D5AF9" w:rsidRDefault="008D5AF9" w:rsidP="008D5AF9">
            <w:pPr>
              <w:rPr>
                <w:sz w:val="24"/>
                <w:szCs w:val="24"/>
              </w:rPr>
            </w:pPr>
            <w:r>
              <w:rPr>
                <w:sz w:val="24"/>
                <w:szCs w:val="24"/>
              </w:rPr>
              <w:t>IgM reaktivitet forekommer sædvanligvis ikke, men ses ved 2. infektion, hvis 1. infektion er blevet behandlet meget tidligt</w:t>
            </w:r>
          </w:p>
        </w:tc>
      </w:tr>
    </w:tbl>
    <w:p w:rsidR="008D5AF9" w:rsidRDefault="008D5AF9" w:rsidP="008D5AF9">
      <w:pPr>
        <w:pStyle w:val="Ingenafstand"/>
      </w:pPr>
      <w:r w:rsidRPr="001E03FE">
        <w:t>AF-M, Antiflagel IgM; AF-G, antiflagel IgG; FTA-ABS, Fluorescent treponemal antibody-absorption test; RPR, Rapid plasma reagin test; WR, Wassermans reaktion</w:t>
      </w:r>
      <w:r>
        <w:t>.</w:t>
      </w:r>
    </w:p>
    <w:p w:rsidR="008D5AF9" w:rsidRDefault="008D5AF9" w:rsidP="008D5AF9">
      <w:pPr>
        <w:pStyle w:val="Ingenafstand"/>
      </w:pPr>
      <w:r>
        <w:t xml:space="preserve">De nævnte treponemale tests er i dag flere steder erstattet af </w:t>
      </w:r>
      <w:r w:rsidRPr="001E03FE">
        <w:t>Treponemal pallidum particle agglutination assay</w:t>
      </w:r>
      <w:r>
        <w:t xml:space="preserve"> (TPPA) og </w:t>
      </w:r>
      <w:r w:rsidRPr="001E03FE">
        <w:t>Inno-Lia ( line immunoassay</w:t>
      </w:r>
      <w:r>
        <w:t>). Ligesom Wassermans reaktion kun udføres på SSI i dag. RPR er dog uændret den non-treponmale test der anvendes til hjælp i den kliniske vurdering samt behandlingsrespons.</w:t>
      </w:r>
    </w:p>
    <w:p w:rsidR="008D5AF9" w:rsidRDefault="008D5AF9" w:rsidP="008D5AF9">
      <w:pPr>
        <w:rPr>
          <w:sz w:val="24"/>
          <w:szCs w:val="24"/>
        </w:rPr>
      </w:pPr>
    </w:p>
    <w:p w:rsidR="006A0B1D" w:rsidRDefault="006A0B1D" w:rsidP="008D5AF9">
      <w:pPr>
        <w:rPr>
          <w:sz w:val="24"/>
          <w:szCs w:val="24"/>
        </w:rPr>
      </w:pPr>
    </w:p>
    <w:p w:rsidR="008D5AF9" w:rsidRPr="002F6BFC" w:rsidRDefault="008D5AF9" w:rsidP="008D5AF9">
      <w:pPr>
        <w:rPr>
          <w:sz w:val="24"/>
          <w:szCs w:val="24"/>
        </w:rPr>
      </w:pPr>
      <w:r w:rsidRPr="002F6BFC">
        <w:rPr>
          <w:sz w:val="24"/>
          <w:szCs w:val="24"/>
        </w:rPr>
        <w:t>Ad. 2: Fra læsioner: chanker og condylomata lata</w:t>
      </w:r>
    </w:p>
    <w:p w:rsidR="008D5AF9" w:rsidRPr="006E0ECD" w:rsidRDefault="008D5AF9" w:rsidP="008D5AF9">
      <w:pPr>
        <w:rPr>
          <w:sz w:val="24"/>
          <w:szCs w:val="24"/>
        </w:rPr>
      </w:pPr>
      <w:r w:rsidRPr="006E0ECD">
        <w:rPr>
          <w:sz w:val="24"/>
          <w:szCs w:val="24"/>
        </w:rPr>
        <w:t>Mørkefeltsmikroskopi:</w:t>
      </w:r>
    </w:p>
    <w:p w:rsidR="00FB7303" w:rsidRDefault="006A0B1D" w:rsidP="008D5AF9">
      <w:pPr>
        <w:ind w:firstLine="1304"/>
        <w:rPr>
          <w:sz w:val="24"/>
          <w:szCs w:val="24"/>
        </w:rPr>
      </w:pPr>
      <w:r>
        <w:rPr>
          <w:sz w:val="24"/>
          <w:szCs w:val="24"/>
        </w:rPr>
        <w:t>V</w:t>
      </w:r>
      <w:r w:rsidR="008D5AF9" w:rsidRPr="006E0ECD">
        <w:rPr>
          <w:sz w:val="24"/>
          <w:szCs w:val="24"/>
        </w:rPr>
        <w:t>ask såret med isoton NaCl med gazeserviet</w:t>
      </w:r>
    </w:p>
    <w:p w:rsidR="008D5AF9" w:rsidRPr="006E0ECD" w:rsidRDefault="006A0B1D" w:rsidP="008D5AF9">
      <w:pPr>
        <w:ind w:firstLine="1304"/>
        <w:rPr>
          <w:sz w:val="24"/>
          <w:szCs w:val="24"/>
        </w:rPr>
      </w:pPr>
      <w:r>
        <w:rPr>
          <w:sz w:val="24"/>
          <w:szCs w:val="24"/>
        </w:rPr>
        <w:t>S</w:t>
      </w:r>
      <w:r w:rsidR="008D5AF9" w:rsidRPr="006E0ECD">
        <w:rPr>
          <w:sz w:val="24"/>
          <w:szCs w:val="24"/>
        </w:rPr>
        <w:t>krab herefter i bunden af såret med uretralsøger</w:t>
      </w:r>
    </w:p>
    <w:p w:rsidR="008D5AF9" w:rsidRPr="006E0ECD" w:rsidRDefault="006A0B1D" w:rsidP="008D5AF9">
      <w:pPr>
        <w:ind w:left="1304"/>
        <w:rPr>
          <w:sz w:val="24"/>
          <w:szCs w:val="24"/>
        </w:rPr>
      </w:pPr>
      <w:r>
        <w:rPr>
          <w:sz w:val="24"/>
          <w:szCs w:val="24"/>
        </w:rPr>
        <w:t>D</w:t>
      </w:r>
      <w:r w:rsidR="008D5AF9" w:rsidRPr="006E0ECD">
        <w:rPr>
          <w:sz w:val="24"/>
          <w:szCs w:val="24"/>
        </w:rPr>
        <w:t>yp herefter spidsen af uretralsøgeren i en dråbe isoton NaCl på et objektglas og læg dækglas over</w:t>
      </w:r>
    </w:p>
    <w:p w:rsidR="008D5AF9" w:rsidRPr="006E0ECD" w:rsidRDefault="008D5AF9" w:rsidP="008D5AF9">
      <w:pPr>
        <w:ind w:firstLine="1304"/>
        <w:rPr>
          <w:sz w:val="24"/>
          <w:szCs w:val="24"/>
        </w:rPr>
      </w:pPr>
      <w:r>
        <w:rPr>
          <w:sz w:val="24"/>
          <w:szCs w:val="24"/>
        </w:rPr>
        <w:t>I</w:t>
      </w:r>
      <w:r w:rsidRPr="006E0ECD">
        <w:rPr>
          <w:sz w:val="24"/>
          <w:szCs w:val="24"/>
        </w:rPr>
        <w:t>mmersionsolie på både dækglas og kondensor</w:t>
      </w:r>
    </w:p>
    <w:p w:rsidR="008D5AF9" w:rsidRPr="002F6BFC" w:rsidRDefault="008D5AF9" w:rsidP="008D5AF9">
      <w:pPr>
        <w:pStyle w:val="Listeafsnit"/>
        <w:rPr>
          <w:sz w:val="24"/>
          <w:szCs w:val="24"/>
        </w:rPr>
      </w:pPr>
    </w:p>
    <w:p w:rsidR="008D5AF9" w:rsidRPr="006E0ECD" w:rsidRDefault="008D5AF9" w:rsidP="008D5AF9">
      <w:pPr>
        <w:rPr>
          <w:sz w:val="24"/>
          <w:szCs w:val="24"/>
        </w:rPr>
      </w:pPr>
      <w:r w:rsidRPr="006E0ECD">
        <w:rPr>
          <w:sz w:val="24"/>
          <w:szCs w:val="24"/>
        </w:rPr>
        <w:t>Treponema pallidum PCR undersøgelse</w:t>
      </w:r>
    </w:p>
    <w:p w:rsidR="008D5AF9" w:rsidRPr="006E0ECD" w:rsidRDefault="006A0B1D" w:rsidP="008D5AF9">
      <w:pPr>
        <w:ind w:firstLine="1080"/>
        <w:rPr>
          <w:sz w:val="24"/>
          <w:szCs w:val="24"/>
        </w:rPr>
      </w:pPr>
      <w:r>
        <w:rPr>
          <w:sz w:val="24"/>
          <w:szCs w:val="24"/>
        </w:rPr>
        <w:t>F</w:t>
      </w:r>
      <w:r w:rsidR="008D5AF9" w:rsidRPr="006E0ECD">
        <w:rPr>
          <w:sz w:val="24"/>
          <w:szCs w:val="24"/>
        </w:rPr>
        <w:t>loched swab + UTM eller ESwab transportmedium,Statens Serum Institut (SSI)</w:t>
      </w:r>
    </w:p>
    <w:p w:rsidR="008D5AF9" w:rsidRPr="006E0ECD" w:rsidRDefault="008D5AF9" w:rsidP="008D5AF9">
      <w:pPr>
        <w:ind w:firstLine="1080"/>
        <w:rPr>
          <w:sz w:val="24"/>
          <w:szCs w:val="24"/>
        </w:rPr>
      </w:pPr>
      <w:r w:rsidRPr="006E0ECD">
        <w:rPr>
          <w:sz w:val="24"/>
          <w:szCs w:val="24"/>
        </w:rPr>
        <w:t>Rekvisitionsnr.: 677, SSI- blanket ”Bakterier”</w:t>
      </w:r>
    </w:p>
    <w:p w:rsidR="008D5AF9" w:rsidRPr="006E0ECD" w:rsidRDefault="008D5AF9" w:rsidP="008D5AF9">
      <w:pPr>
        <w:ind w:firstLine="1080"/>
        <w:rPr>
          <w:sz w:val="24"/>
          <w:szCs w:val="24"/>
        </w:rPr>
      </w:pPr>
      <w:r w:rsidRPr="006E0ECD">
        <w:rPr>
          <w:sz w:val="24"/>
          <w:szCs w:val="24"/>
        </w:rPr>
        <w:t>Høj sensitivitet ved relevante læsioner og høj specificitet</w:t>
      </w:r>
    </w:p>
    <w:p w:rsidR="008D5AF9" w:rsidRPr="002F6BFC" w:rsidRDefault="008D5AF9" w:rsidP="008D5AF9">
      <w:pPr>
        <w:pStyle w:val="Listeafsnit"/>
        <w:rPr>
          <w:sz w:val="24"/>
          <w:szCs w:val="24"/>
        </w:rPr>
      </w:pPr>
    </w:p>
    <w:p w:rsidR="008D5AF9" w:rsidRPr="006E0ECD" w:rsidRDefault="008D5AF9" w:rsidP="008D5AF9">
      <w:pPr>
        <w:rPr>
          <w:sz w:val="24"/>
          <w:szCs w:val="24"/>
        </w:rPr>
      </w:pPr>
      <w:r w:rsidRPr="006E0ECD">
        <w:rPr>
          <w:sz w:val="24"/>
          <w:szCs w:val="24"/>
        </w:rPr>
        <w:t>Biopsi til almen histologisk undersøgelse fra hudlæsion</w:t>
      </w:r>
    </w:p>
    <w:p w:rsidR="008D5AF9" w:rsidRPr="006E0ECD" w:rsidRDefault="006A0B1D" w:rsidP="008D5AF9">
      <w:pPr>
        <w:ind w:firstLine="1080"/>
        <w:rPr>
          <w:sz w:val="24"/>
          <w:szCs w:val="24"/>
        </w:rPr>
      </w:pPr>
      <w:r>
        <w:rPr>
          <w:sz w:val="24"/>
          <w:szCs w:val="24"/>
        </w:rPr>
        <w:t>H</w:t>
      </w:r>
      <w:r w:rsidR="008D5AF9" w:rsidRPr="006E0ECD">
        <w:rPr>
          <w:sz w:val="24"/>
          <w:szCs w:val="24"/>
        </w:rPr>
        <w:t>istologi</w:t>
      </w:r>
      <w:r>
        <w:rPr>
          <w:sz w:val="24"/>
          <w:szCs w:val="24"/>
        </w:rPr>
        <w:t>rekvisition</w:t>
      </w:r>
      <w:r w:rsidR="008D5AF9" w:rsidRPr="006E0ECD">
        <w:rPr>
          <w:sz w:val="24"/>
          <w:szCs w:val="24"/>
        </w:rPr>
        <w:t xml:space="preserve"> anføres obs. Syfilis</w:t>
      </w:r>
    </w:p>
    <w:p w:rsidR="008D5AF9" w:rsidRPr="006E0ECD" w:rsidRDefault="006A0B1D" w:rsidP="008D5AF9">
      <w:pPr>
        <w:ind w:firstLine="1080"/>
        <w:rPr>
          <w:sz w:val="24"/>
          <w:szCs w:val="24"/>
        </w:rPr>
      </w:pPr>
      <w:r>
        <w:rPr>
          <w:sz w:val="24"/>
          <w:szCs w:val="24"/>
        </w:rPr>
        <w:t>P</w:t>
      </w:r>
      <w:r w:rsidR="008D5AF9" w:rsidRPr="006E0ECD">
        <w:rPr>
          <w:sz w:val="24"/>
          <w:szCs w:val="24"/>
        </w:rPr>
        <w:t>ræparat specialfarves for spirokæter, og der vil ses plasmaceller</w:t>
      </w:r>
    </w:p>
    <w:p w:rsidR="006A0B1D" w:rsidRPr="008D5AF9" w:rsidRDefault="006A0B1D" w:rsidP="006A0B1D">
      <w:pPr>
        <w:rPr>
          <w:b/>
          <w:bCs/>
          <w:sz w:val="24"/>
          <w:szCs w:val="24"/>
        </w:rPr>
      </w:pPr>
      <w:r w:rsidRPr="008D5AF9">
        <w:rPr>
          <w:b/>
          <w:bCs/>
          <w:sz w:val="24"/>
          <w:szCs w:val="24"/>
        </w:rPr>
        <w:t>Kontrol</w:t>
      </w:r>
    </w:p>
    <w:p w:rsidR="006A0B1D" w:rsidRPr="002F6BFC" w:rsidRDefault="006A0B1D" w:rsidP="006A0B1D">
      <w:pPr>
        <w:rPr>
          <w:sz w:val="24"/>
          <w:szCs w:val="24"/>
        </w:rPr>
      </w:pPr>
      <w:r w:rsidRPr="002F6BFC">
        <w:rPr>
          <w:sz w:val="24"/>
          <w:szCs w:val="24"/>
        </w:rPr>
        <w:t>Serologiske test for syfilis (RPR eller WR) tages efter 3, 6 og 12 måneder. Evt. yderligere kontrol afhænger af det serologiske forløb. Efter behandling af tidlig syfilis</w:t>
      </w:r>
      <w:r>
        <w:rPr>
          <w:sz w:val="24"/>
          <w:szCs w:val="24"/>
        </w:rPr>
        <w:t xml:space="preserve"> (diagnosticeret indenfor et år efter smitte)</w:t>
      </w:r>
      <w:r w:rsidRPr="002F6BFC">
        <w:rPr>
          <w:sz w:val="24"/>
          <w:szCs w:val="24"/>
        </w:rPr>
        <w:t xml:space="preserve"> skal RPR blive negativ eller falde fire-fold indenfor 6 mdr. (evt. 12 mdr.). Hos patienter behandlet for sen syfilis kan der ses vedvarende reaktive non-treponemale tests, men såfremt titeren er lav og stabil er der ikke behov for yderligere follow-up.</w:t>
      </w:r>
    </w:p>
    <w:p w:rsidR="006A0B1D" w:rsidRDefault="006A0B1D" w:rsidP="006A0B1D">
      <w:pPr>
        <w:rPr>
          <w:sz w:val="24"/>
          <w:szCs w:val="24"/>
        </w:rPr>
      </w:pPr>
      <w:r w:rsidRPr="002F6BFC">
        <w:rPr>
          <w:sz w:val="24"/>
          <w:szCs w:val="24"/>
        </w:rPr>
        <w:t>Tolkning af øvrige syfilisserologi</w:t>
      </w:r>
      <w:r>
        <w:rPr>
          <w:sz w:val="24"/>
          <w:szCs w:val="24"/>
        </w:rPr>
        <w:t xml:space="preserve"> inkl. CNS</w:t>
      </w:r>
      <w:r w:rsidR="00682D70">
        <w:rPr>
          <w:sz w:val="24"/>
          <w:szCs w:val="24"/>
        </w:rPr>
        <w:t>-</w:t>
      </w:r>
      <w:r>
        <w:rPr>
          <w:sz w:val="24"/>
          <w:szCs w:val="24"/>
        </w:rPr>
        <w:t>undersøgelse for neurosyfilis: Der henvises til DDS syfilis guideline.</w:t>
      </w:r>
    </w:p>
    <w:p w:rsidR="008D5AF9" w:rsidRDefault="008D5AF9" w:rsidP="008D5AF9">
      <w:pPr>
        <w:rPr>
          <w:sz w:val="24"/>
          <w:szCs w:val="24"/>
        </w:rPr>
      </w:pPr>
    </w:p>
    <w:p w:rsidR="006A0B1D" w:rsidRDefault="006A0B1D" w:rsidP="008D5AF9">
      <w:pPr>
        <w:rPr>
          <w:sz w:val="24"/>
          <w:szCs w:val="24"/>
        </w:rPr>
      </w:pPr>
    </w:p>
    <w:p w:rsidR="008D5AF9" w:rsidRPr="005B1D59" w:rsidRDefault="008D5AF9" w:rsidP="008D5AF9">
      <w:pPr>
        <w:pStyle w:val="Overskrift3"/>
        <w:rPr>
          <w:sz w:val="28"/>
          <w:szCs w:val="28"/>
        </w:rPr>
      </w:pPr>
      <w:bookmarkStart w:id="14" w:name="_Toc86222545"/>
      <w:r w:rsidRPr="005B1D59">
        <w:rPr>
          <w:sz w:val="28"/>
          <w:szCs w:val="28"/>
        </w:rPr>
        <w:t>Andre årsager</w:t>
      </w:r>
      <w:bookmarkEnd w:id="14"/>
      <w:r w:rsidRPr="005B1D59">
        <w:rPr>
          <w:sz w:val="28"/>
          <w:szCs w:val="28"/>
        </w:rPr>
        <w:t xml:space="preserve"> </w:t>
      </w:r>
    </w:p>
    <w:p w:rsidR="008D5AF9" w:rsidRPr="002F6BFC" w:rsidRDefault="008D5AF9" w:rsidP="008D5AF9">
      <w:pPr>
        <w:rPr>
          <w:sz w:val="24"/>
          <w:szCs w:val="24"/>
        </w:rPr>
      </w:pPr>
      <w:r w:rsidRPr="002F6BFC">
        <w:rPr>
          <w:sz w:val="24"/>
          <w:szCs w:val="24"/>
        </w:rPr>
        <w:t>L</w:t>
      </w:r>
      <w:r>
        <w:rPr>
          <w:sz w:val="24"/>
          <w:szCs w:val="24"/>
        </w:rPr>
        <w:t xml:space="preserve">ymfogranuloma venereum og </w:t>
      </w:r>
      <w:r w:rsidRPr="002F6BFC">
        <w:rPr>
          <w:sz w:val="24"/>
          <w:szCs w:val="24"/>
        </w:rPr>
        <w:t>Ulcus molle</w:t>
      </w:r>
    </w:p>
    <w:p w:rsidR="008D5AF9" w:rsidRPr="003F7C4F" w:rsidRDefault="008D5AF9" w:rsidP="008D5AF9">
      <w:pPr>
        <w:rPr>
          <w:b/>
          <w:bCs/>
          <w:sz w:val="24"/>
          <w:szCs w:val="24"/>
        </w:rPr>
      </w:pPr>
      <w:r w:rsidRPr="003F7C4F">
        <w:rPr>
          <w:b/>
          <w:bCs/>
          <w:sz w:val="24"/>
          <w:szCs w:val="24"/>
        </w:rPr>
        <w:t>Baggrund og epidemiologi</w:t>
      </w:r>
    </w:p>
    <w:p w:rsidR="008D5AF9" w:rsidRPr="002F6BFC" w:rsidRDefault="008D5AF9" w:rsidP="008D5AF9">
      <w:pPr>
        <w:rPr>
          <w:sz w:val="24"/>
          <w:szCs w:val="24"/>
        </w:rPr>
      </w:pPr>
      <w:r w:rsidRPr="002F6BFC">
        <w:rPr>
          <w:sz w:val="24"/>
          <w:szCs w:val="24"/>
        </w:rPr>
        <w:t xml:space="preserve">Lymfogranuloma venereum (LGV) og </w:t>
      </w:r>
      <w:r>
        <w:rPr>
          <w:sz w:val="24"/>
          <w:szCs w:val="24"/>
        </w:rPr>
        <w:t>U</w:t>
      </w:r>
      <w:r w:rsidRPr="002F6BFC">
        <w:rPr>
          <w:sz w:val="24"/>
          <w:szCs w:val="24"/>
        </w:rPr>
        <w:t xml:space="preserve">lcus molle er meget sjældne årsager til anogenitale sår i den vestlige del af verden inkl. Danmark. Ulcus molle er blevet sjældnere som årsag til genitale sår i troperne og til gengæld hyppigere som non-genitale kutane sår især hos børn </w:t>
      </w:r>
      <w:r>
        <w:rPr>
          <w:noProof/>
          <w:sz w:val="24"/>
          <w:szCs w:val="24"/>
        </w:rPr>
        <w:t>(38)</w:t>
      </w:r>
      <w:r w:rsidRPr="002F6BFC">
        <w:rPr>
          <w:sz w:val="24"/>
          <w:szCs w:val="24"/>
        </w:rPr>
        <w:t>. Ulcus molle ses derfor i DK langt overvejende som importeret infektion sporadisk, og må mistænkes hos person med relevant rejse</w:t>
      </w:r>
      <w:r>
        <w:rPr>
          <w:sz w:val="24"/>
          <w:szCs w:val="24"/>
        </w:rPr>
        <w:t>anamnese</w:t>
      </w:r>
      <w:r w:rsidRPr="002F6BFC">
        <w:rPr>
          <w:sz w:val="24"/>
          <w:szCs w:val="24"/>
        </w:rPr>
        <w:t xml:space="preserve"> eller </w:t>
      </w:r>
      <w:r>
        <w:rPr>
          <w:sz w:val="24"/>
          <w:szCs w:val="24"/>
        </w:rPr>
        <w:t>ved seksuel kontakt</w:t>
      </w:r>
      <w:r w:rsidRPr="002F6BFC">
        <w:rPr>
          <w:sz w:val="24"/>
          <w:szCs w:val="24"/>
        </w:rPr>
        <w:t xml:space="preserve"> til person med relevant rejseekspo</w:t>
      </w:r>
      <w:r>
        <w:rPr>
          <w:sz w:val="24"/>
          <w:szCs w:val="24"/>
        </w:rPr>
        <w:t xml:space="preserve">nering </w:t>
      </w:r>
      <w:r>
        <w:rPr>
          <w:noProof/>
          <w:sz w:val="24"/>
          <w:szCs w:val="24"/>
        </w:rPr>
        <w:t>(39, 40)</w:t>
      </w:r>
      <w:r w:rsidRPr="002F6BFC">
        <w:rPr>
          <w:sz w:val="24"/>
          <w:szCs w:val="24"/>
        </w:rPr>
        <w:t>. LGV forekommer ligeledes hyppigst i troperne, men siden årtusindskiftet har infektionen været endemisk blandt MSM</w:t>
      </w:r>
      <w:r>
        <w:rPr>
          <w:sz w:val="24"/>
          <w:szCs w:val="24"/>
        </w:rPr>
        <w:t xml:space="preserve"> i den vestlige del af verden</w:t>
      </w:r>
      <w:r w:rsidRPr="002F6BFC">
        <w:rPr>
          <w:sz w:val="24"/>
          <w:szCs w:val="24"/>
        </w:rPr>
        <w:t>, især HIV-inficerede MSM, og her oftest rektalt</w:t>
      </w:r>
      <w:r>
        <w:rPr>
          <w:sz w:val="24"/>
          <w:szCs w:val="24"/>
        </w:rPr>
        <w:t xml:space="preserve"> (se under proktit afsnittet),</w:t>
      </w:r>
      <w:r w:rsidR="006A0B1D">
        <w:rPr>
          <w:sz w:val="24"/>
          <w:szCs w:val="24"/>
        </w:rPr>
        <w:t xml:space="preserve"> </w:t>
      </w:r>
      <w:r>
        <w:rPr>
          <w:noProof/>
          <w:sz w:val="24"/>
          <w:szCs w:val="24"/>
        </w:rPr>
        <w:t>(13)</w:t>
      </w:r>
      <w:r w:rsidRPr="002F6BFC">
        <w:rPr>
          <w:sz w:val="24"/>
          <w:szCs w:val="24"/>
        </w:rPr>
        <w:t>. LGV er ekstrem sjælden hos heteroseksuelle i den vestlige del af verden.</w:t>
      </w:r>
    </w:p>
    <w:p w:rsidR="008D5AF9" w:rsidRPr="002F6BFC" w:rsidRDefault="008D5AF9" w:rsidP="008D5AF9">
      <w:pPr>
        <w:rPr>
          <w:i/>
          <w:iCs/>
          <w:sz w:val="24"/>
          <w:szCs w:val="24"/>
        </w:rPr>
      </w:pPr>
      <w:r w:rsidRPr="002F6BFC">
        <w:rPr>
          <w:sz w:val="24"/>
          <w:szCs w:val="24"/>
        </w:rPr>
        <w:t xml:space="preserve">LGV forårsages af </w:t>
      </w:r>
      <w:r w:rsidRPr="002F6BFC">
        <w:rPr>
          <w:i/>
          <w:iCs/>
          <w:sz w:val="24"/>
          <w:szCs w:val="24"/>
        </w:rPr>
        <w:t xml:space="preserve">C. trachomatis, </w:t>
      </w:r>
      <w:r w:rsidRPr="002F6BFC">
        <w:rPr>
          <w:sz w:val="24"/>
          <w:szCs w:val="24"/>
        </w:rPr>
        <w:t xml:space="preserve">genovar L1-L3 og ulcus molle af </w:t>
      </w:r>
      <w:r w:rsidRPr="002F6BFC">
        <w:rPr>
          <w:i/>
          <w:iCs/>
          <w:sz w:val="24"/>
          <w:szCs w:val="24"/>
        </w:rPr>
        <w:t>Haemophilus Ducreyi.</w:t>
      </w:r>
    </w:p>
    <w:p w:rsidR="008D5AF9" w:rsidRPr="002F6BFC" w:rsidRDefault="008D5AF9" w:rsidP="008D5AF9">
      <w:pPr>
        <w:rPr>
          <w:sz w:val="24"/>
          <w:szCs w:val="24"/>
        </w:rPr>
      </w:pPr>
      <w:r w:rsidRPr="002F6BFC">
        <w:rPr>
          <w:sz w:val="24"/>
          <w:szCs w:val="24"/>
        </w:rPr>
        <w:t>Inkubationstiden for LGV er 1-4 uger og for ulcus molle 3-7 dage.</w:t>
      </w:r>
    </w:p>
    <w:p w:rsidR="008D5AF9" w:rsidRPr="008647BC" w:rsidRDefault="008D5AF9" w:rsidP="008D5AF9">
      <w:pPr>
        <w:rPr>
          <w:b/>
          <w:bCs/>
          <w:sz w:val="24"/>
          <w:szCs w:val="24"/>
        </w:rPr>
      </w:pPr>
      <w:r w:rsidRPr="008647BC">
        <w:rPr>
          <w:b/>
          <w:bCs/>
          <w:sz w:val="24"/>
          <w:szCs w:val="24"/>
        </w:rPr>
        <w:t>Symptomer</w:t>
      </w:r>
    </w:p>
    <w:p w:rsidR="008D5AF9" w:rsidRPr="002F6BFC" w:rsidRDefault="008D5AF9" w:rsidP="008D5AF9">
      <w:pPr>
        <w:rPr>
          <w:sz w:val="24"/>
          <w:szCs w:val="24"/>
        </w:rPr>
      </w:pPr>
      <w:r w:rsidRPr="002F6BFC">
        <w:rPr>
          <w:sz w:val="24"/>
          <w:szCs w:val="24"/>
        </w:rPr>
        <w:t xml:space="preserve">LGV gennemløber ubehandlet </w:t>
      </w:r>
      <w:r>
        <w:rPr>
          <w:sz w:val="24"/>
          <w:szCs w:val="24"/>
        </w:rPr>
        <w:t>tre</w:t>
      </w:r>
      <w:r w:rsidRPr="002F6BFC">
        <w:rPr>
          <w:sz w:val="24"/>
          <w:szCs w:val="24"/>
        </w:rPr>
        <w:t xml:space="preserve"> stadier:</w:t>
      </w:r>
    </w:p>
    <w:p w:rsidR="008D5AF9" w:rsidRDefault="008D5AF9" w:rsidP="008D5AF9">
      <w:pPr>
        <w:rPr>
          <w:sz w:val="24"/>
          <w:szCs w:val="24"/>
        </w:rPr>
      </w:pPr>
      <w:r w:rsidRPr="006E0ECD">
        <w:rPr>
          <w:sz w:val="24"/>
          <w:szCs w:val="24"/>
        </w:rPr>
        <w:t xml:space="preserve">Primærstadiet: </w:t>
      </w:r>
    </w:p>
    <w:p w:rsidR="008D5AF9" w:rsidRPr="006E0ECD" w:rsidRDefault="008D5AF9" w:rsidP="008D5AF9">
      <w:pPr>
        <w:ind w:left="1304"/>
        <w:rPr>
          <w:sz w:val="24"/>
          <w:szCs w:val="24"/>
        </w:rPr>
      </w:pPr>
      <w:r w:rsidRPr="006E0ECD">
        <w:rPr>
          <w:sz w:val="24"/>
          <w:szCs w:val="24"/>
        </w:rPr>
        <w:t>Lille forbigående, uøm papel eller pustel, der kan erodere til et lille herpetiformt uømt sår, på penis eller vulva, evt. i rektum og hos kvinder evt. på cervix og evt. i munden efter oralsex. Evt. uretrit eller cervicit</w:t>
      </w:r>
    </w:p>
    <w:p w:rsidR="008D5AF9" w:rsidRPr="006E0ECD" w:rsidRDefault="008D5AF9" w:rsidP="008D5AF9">
      <w:pPr>
        <w:rPr>
          <w:sz w:val="24"/>
          <w:szCs w:val="24"/>
        </w:rPr>
      </w:pPr>
      <w:r w:rsidRPr="006E0ECD">
        <w:rPr>
          <w:sz w:val="24"/>
          <w:szCs w:val="24"/>
        </w:rPr>
        <w:t xml:space="preserve">Sekundærstadiet: </w:t>
      </w:r>
    </w:p>
    <w:p w:rsidR="008D5AF9" w:rsidRPr="00667BEC" w:rsidRDefault="008D5AF9" w:rsidP="008D5AF9">
      <w:pPr>
        <w:ind w:firstLine="1304"/>
        <w:rPr>
          <w:sz w:val="24"/>
          <w:szCs w:val="24"/>
        </w:rPr>
      </w:pPr>
      <w:r>
        <w:rPr>
          <w:sz w:val="24"/>
          <w:szCs w:val="24"/>
        </w:rPr>
        <w:t>Afhænger af lokalisation for smitte</w:t>
      </w:r>
    </w:p>
    <w:p w:rsidR="008D5AF9" w:rsidRPr="006E0ECD" w:rsidRDefault="008D5AF9" w:rsidP="008D5AF9">
      <w:pPr>
        <w:ind w:left="1304"/>
        <w:rPr>
          <w:sz w:val="24"/>
          <w:szCs w:val="24"/>
        </w:rPr>
      </w:pPr>
      <w:r w:rsidRPr="006E0ECD">
        <w:rPr>
          <w:sz w:val="24"/>
          <w:szCs w:val="24"/>
        </w:rPr>
        <w:t>Det inguinale syndrom; ømme hævede inguinale lymfeglander (”buboes”), oftest unilateralt, evt. Grooves tegn (inguinal og femoral lymfeglandelsvulst adskilt af ligamentum inguinale)</w:t>
      </w:r>
    </w:p>
    <w:p w:rsidR="008D5AF9" w:rsidRPr="006E0ECD" w:rsidRDefault="008D5AF9" w:rsidP="008D5AF9">
      <w:pPr>
        <w:ind w:firstLine="1304"/>
        <w:rPr>
          <w:sz w:val="24"/>
          <w:szCs w:val="24"/>
        </w:rPr>
      </w:pPr>
      <w:r w:rsidRPr="006E0ECD">
        <w:rPr>
          <w:sz w:val="24"/>
          <w:szCs w:val="24"/>
        </w:rPr>
        <w:t>Det faryngeale syndrom; ømme hævede halsglandler</w:t>
      </w:r>
    </w:p>
    <w:p w:rsidR="008D5AF9" w:rsidRPr="006E0ECD" w:rsidRDefault="008D5AF9" w:rsidP="008D5AF9">
      <w:pPr>
        <w:ind w:left="1304"/>
        <w:rPr>
          <w:sz w:val="24"/>
          <w:szCs w:val="24"/>
        </w:rPr>
      </w:pPr>
      <w:r w:rsidRPr="006E0ECD">
        <w:rPr>
          <w:sz w:val="24"/>
          <w:szCs w:val="24"/>
        </w:rPr>
        <w:t xml:space="preserve">Det ano-rektale syndrom; hæmoragisk proktit/proktokolit og </w:t>
      </w:r>
      <w:r w:rsidRPr="006E0ECD">
        <w:rPr>
          <w:color w:val="2A2A2A"/>
          <w:sz w:val="24"/>
          <w:szCs w:val="24"/>
          <w:shd w:val="clear" w:color="auto" w:fill="FFFFFF"/>
        </w:rPr>
        <w:t>hyperplasi af intestinal og perirektalt lymfatisk væv. Ligner klinisk inflammatorisk tarmsyndrom, også histologisk.</w:t>
      </w:r>
    </w:p>
    <w:p w:rsidR="008D5AF9" w:rsidRDefault="008D5AF9" w:rsidP="008D5AF9">
      <w:pPr>
        <w:ind w:firstLine="1304"/>
        <w:rPr>
          <w:sz w:val="24"/>
          <w:szCs w:val="24"/>
        </w:rPr>
      </w:pPr>
      <w:r w:rsidRPr="00C219D8">
        <w:rPr>
          <w:sz w:val="24"/>
          <w:szCs w:val="24"/>
        </w:rPr>
        <w:t>Systemiske symptomer som almen sygdomsfølelse, feber og muskel/ledsmerter</w:t>
      </w:r>
    </w:p>
    <w:p w:rsidR="008D5AF9" w:rsidRDefault="008D5AF9" w:rsidP="008D5AF9">
      <w:pPr>
        <w:rPr>
          <w:sz w:val="24"/>
          <w:szCs w:val="24"/>
        </w:rPr>
      </w:pPr>
      <w:r w:rsidRPr="006E0ECD">
        <w:rPr>
          <w:sz w:val="24"/>
          <w:szCs w:val="24"/>
        </w:rPr>
        <w:t xml:space="preserve">Tertiærstadiet : </w:t>
      </w:r>
    </w:p>
    <w:p w:rsidR="008D5AF9" w:rsidRPr="006E0ECD" w:rsidRDefault="008D5AF9" w:rsidP="008D5AF9">
      <w:pPr>
        <w:ind w:left="1304"/>
        <w:rPr>
          <w:sz w:val="24"/>
          <w:szCs w:val="24"/>
        </w:rPr>
      </w:pPr>
      <w:r w:rsidRPr="006E0ECD">
        <w:rPr>
          <w:sz w:val="24"/>
          <w:szCs w:val="24"/>
        </w:rPr>
        <w:t xml:space="preserve">anogenital fisteldannelse, rektovaginale fistler, rektumstriktur og genital elephantiasis, </w:t>
      </w:r>
      <w:r w:rsidRPr="006E0ECD">
        <w:rPr>
          <w:noProof/>
          <w:sz w:val="24"/>
          <w:szCs w:val="24"/>
        </w:rPr>
        <w:t>(13)</w:t>
      </w:r>
      <w:r w:rsidRPr="006E0ECD">
        <w:rPr>
          <w:sz w:val="24"/>
          <w:szCs w:val="24"/>
        </w:rPr>
        <w:t>.</w:t>
      </w:r>
    </w:p>
    <w:p w:rsidR="008D5AF9" w:rsidRPr="002F6BFC" w:rsidRDefault="008D5AF9" w:rsidP="008D5AF9">
      <w:pPr>
        <w:rPr>
          <w:sz w:val="24"/>
          <w:szCs w:val="24"/>
        </w:rPr>
      </w:pPr>
      <w:r w:rsidRPr="002F6BFC">
        <w:rPr>
          <w:sz w:val="24"/>
          <w:szCs w:val="24"/>
        </w:rPr>
        <w:t>Ulcus molle: En til flere ømme, ikke indurerede sår anogenitalt forudgået af papel eller pustel, kan ligeledes ledsages af øm inguinal lymfeknudesvulst.</w:t>
      </w:r>
    </w:p>
    <w:p w:rsidR="008D5AF9" w:rsidRPr="008647BC" w:rsidRDefault="008D5AF9" w:rsidP="008D5AF9">
      <w:pPr>
        <w:rPr>
          <w:b/>
          <w:bCs/>
          <w:sz w:val="24"/>
          <w:szCs w:val="24"/>
        </w:rPr>
      </w:pPr>
      <w:r w:rsidRPr="008647BC">
        <w:rPr>
          <w:b/>
          <w:bCs/>
          <w:sz w:val="24"/>
          <w:szCs w:val="24"/>
        </w:rPr>
        <w:t>Diagnostik</w:t>
      </w:r>
    </w:p>
    <w:p w:rsidR="008D5AF9" w:rsidRPr="002F6BFC" w:rsidRDefault="008D5AF9" w:rsidP="008D5AF9">
      <w:pPr>
        <w:rPr>
          <w:sz w:val="24"/>
          <w:szCs w:val="24"/>
        </w:rPr>
      </w:pPr>
      <w:r w:rsidRPr="002F6BFC">
        <w:rPr>
          <w:sz w:val="24"/>
          <w:szCs w:val="24"/>
        </w:rPr>
        <w:t>Podning fra sår til PCR-undersøgelse, Statens Serum Institut, UTM eller ESwab transportmedium. Prøven kan undersøges samtidig</w:t>
      </w:r>
      <w:r>
        <w:rPr>
          <w:sz w:val="24"/>
          <w:szCs w:val="24"/>
        </w:rPr>
        <w:t>t</w:t>
      </w:r>
      <w:r w:rsidRPr="002F6BFC">
        <w:rPr>
          <w:sz w:val="24"/>
          <w:szCs w:val="24"/>
        </w:rPr>
        <w:t xml:space="preserve"> for begge bakterier samt for </w:t>
      </w:r>
      <w:r w:rsidRPr="002F6BFC">
        <w:rPr>
          <w:i/>
          <w:iCs/>
          <w:sz w:val="24"/>
          <w:szCs w:val="24"/>
        </w:rPr>
        <w:t>T. pallidum</w:t>
      </w:r>
      <w:r w:rsidRPr="002F6BFC">
        <w:rPr>
          <w:sz w:val="24"/>
          <w:szCs w:val="24"/>
        </w:rPr>
        <w:t xml:space="preserve">. Skal dog kun bestilles for </w:t>
      </w:r>
      <w:r w:rsidRPr="002F6BFC">
        <w:rPr>
          <w:i/>
          <w:iCs/>
          <w:sz w:val="24"/>
          <w:szCs w:val="24"/>
        </w:rPr>
        <w:t xml:space="preserve">H. ducreyi </w:t>
      </w:r>
      <w:r w:rsidRPr="002F6BFC">
        <w:rPr>
          <w:sz w:val="24"/>
          <w:szCs w:val="24"/>
        </w:rPr>
        <w:t>ved begrundet mistanke</w:t>
      </w:r>
      <w:r>
        <w:rPr>
          <w:sz w:val="24"/>
          <w:szCs w:val="24"/>
        </w:rPr>
        <w:t>.</w:t>
      </w:r>
    </w:p>
    <w:p w:rsidR="008D5AF9" w:rsidRPr="001E03FE" w:rsidRDefault="008D5AF9" w:rsidP="008D5AF9">
      <w:pPr>
        <w:rPr>
          <w:b/>
          <w:bCs/>
          <w:sz w:val="24"/>
          <w:szCs w:val="24"/>
        </w:rPr>
      </w:pPr>
      <w:r w:rsidRPr="001E03FE">
        <w:rPr>
          <w:b/>
          <w:bCs/>
          <w:sz w:val="24"/>
          <w:szCs w:val="24"/>
        </w:rPr>
        <w:t>Behandling</w:t>
      </w:r>
    </w:p>
    <w:tbl>
      <w:tblPr>
        <w:tblStyle w:val="Tabel-Gitter"/>
        <w:tblW w:w="0" w:type="auto"/>
        <w:tblLook w:val="04A0" w:firstRow="1" w:lastRow="0" w:firstColumn="1" w:lastColumn="0" w:noHBand="0" w:noVBand="1"/>
      </w:tblPr>
      <w:tblGrid>
        <w:gridCol w:w="3114"/>
        <w:gridCol w:w="6514"/>
      </w:tblGrid>
      <w:tr w:rsidR="008D5AF9" w:rsidRPr="002F6BFC" w:rsidTr="008D5AF9">
        <w:trPr>
          <w:trHeight w:val="851"/>
        </w:trPr>
        <w:tc>
          <w:tcPr>
            <w:tcW w:w="9628" w:type="dxa"/>
            <w:gridSpan w:val="2"/>
            <w:tcBorders>
              <w:bottom w:val="single" w:sz="4" w:space="0" w:color="auto"/>
            </w:tcBorders>
          </w:tcPr>
          <w:p w:rsidR="008D5AF9" w:rsidRPr="002F6BFC" w:rsidRDefault="008D5AF9" w:rsidP="008D5AF9">
            <w:pPr>
              <w:rPr>
                <w:b/>
                <w:bCs/>
                <w:sz w:val="24"/>
                <w:szCs w:val="24"/>
              </w:rPr>
            </w:pPr>
            <w:r>
              <w:rPr>
                <w:b/>
                <w:bCs/>
                <w:sz w:val="24"/>
                <w:szCs w:val="24"/>
              </w:rPr>
              <w:t>Tabel 9</w:t>
            </w:r>
            <w:r w:rsidRPr="002F6BFC">
              <w:rPr>
                <w:b/>
                <w:bCs/>
                <w:sz w:val="24"/>
                <w:szCs w:val="24"/>
              </w:rPr>
              <w:t xml:space="preserve">       </w:t>
            </w:r>
            <w:r w:rsidRPr="00F85793">
              <w:rPr>
                <w:sz w:val="24"/>
                <w:szCs w:val="24"/>
              </w:rPr>
              <w:t>Behandling</w:t>
            </w:r>
            <w:r>
              <w:rPr>
                <w:sz w:val="24"/>
                <w:szCs w:val="24"/>
              </w:rPr>
              <w:t xml:space="preserve"> af Lymfogranuloma venereum samt Ulcus molle </w:t>
            </w:r>
            <w:r>
              <w:rPr>
                <w:noProof/>
                <w:sz w:val="24"/>
                <w:szCs w:val="24"/>
              </w:rPr>
              <w:t>(13, 38)</w:t>
            </w:r>
            <w:r>
              <w:rPr>
                <w:sz w:val="24"/>
                <w:szCs w:val="24"/>
              </w:rPr>
              <w:t xml:space="preserve"> </w:t>
            </w:r>
          </w:p>
        </w:tc>
      </w:tr>
      <w:tr w:rsidR="008D5AF9" w:rsidRPr="002F6BFC" w:rsidTr="008D5AF9">
        <w:trPr>
          <w:trHeight w:val="569"/>
        </w:trPr>
        <w:tc>
          <w:tcPr>
            <w:tcW w:w="9628" w:type="dxa"/>
            <w:gridSpan w:val="2"/>
            <w:tcBorders>
              <w:bottom w:val="single" w:sz="4" w:space="0" w:color="auto"/>
            </w:tcBorders>
          </w:tcPr>
          <w:p w:rsidR="008D5AF9" w:rsidRDefault="008D5AF9" w:rsidP="008D5AF9">
            <w:pPr>
              <w:rPr>
                <w:b/>
                <w:bCs/>
                <w:sz w:val="24"/>
                <w:szCs w:val="24"/>
              </w:rPr>
            </w:pPr>
            <w:r>
              <w:rPr>
                <w:b/>
                <w:bCs/>
                <w:sz w:val="24"/>
                <w:szCs w:val="24"/>
              </w:rPr>
              <w:t>Ætiologi                                                            Behandling</w:t>
            </w:r>
          </w:p>
        </w:tc>
      </w:tr>
      <w:tr w:rsidR="008D5AF9" w:rsidRPr="002F6BFC" w:rsidTr="008D5AF9">
        <w:trPr>
          <w:trHeight w:val="1701"/>
        </w:trPr>
        <w:tc>
          <w:tcPr>
            <w:tcW w:w="3114" w:type="dxa"/>
            <w:tcBorders>
              <w:top w:val="single" w:sz="4" w:space="0" w:color="auto"/>
              <w:left w:val="single" w:sz="4" w:space="0" w:color="auto"/>
              <w:bottom w:val="nil"/>
              <w:right w:val="nil"/>
            </w:tcBorders>
          </w:tcPr>
          <w:p w:rsidR="008D5AF9" w:rsidRPr="002F6BFC" w:rsidRDefault="008D5AF9" w:rsidP="008D5AF9">
            <w:pPr>
              <w:rPr>
                <w:sz w:val="24"/>
                <w:szCs w:val="24"/>
              </w:rPr>
            </w:pPr>
          </w:p>
          <w:p w:rsidR="008D5AF9" w:rsidRPr="002F6BFC" w:rsidRDefault="008D5AF9" w:rsidP="008D5AF9">
            <w:pPr>
              <w:rPr>
                <w:sz w:val="24"/>
                <w:szCs w:val="24"/>
              </w:rPr>
            </w:pPr>
            <w:r w:rsidRPr="002F6BFC">
              <w:rPr>
                <w:sz w:val="24"/>
                <w:szCs w:val="24"/>
              </w:rPr>
              <w:t>Lymfogranuloma venereum</w:t>
            </w:r>
          </w:p>
        </w:tc>
        <w:tc>
          <w:tcPr>
            <w:tcW w:w="6514" w:type="dxa"/>
            <w:tcBorders>
              <w:top w:val="single" w:sz="4" w:space="0" w:color="auto"/>
              <w:left w:val="nil"/>
              <w:bottom w:val="nil"/>
              <w:right w:val="single" w:sz="4" w:space="0" w:color="auto"/>
            </w:tcBorders>
          </w:tcPr>
          <w:p w:rsidR="008D5AF9" w:rsidRPr="002F6BFC" w:rsidRDefault="008D5AF9" w:rsidP="008D5AF9">
            <w:pPr>
              <w:rPr>
                <w:sz w:val="24"/>
                <w:szCs w:val="24"/>
              </w:rPr>
            </w:pPr>
          </w:p>
          <w:p w:rsidR="008D5AF9" w:rsidRPr="002F6BFC" w:rsidRDefault="008D5AF9" w:rsidP="008D5AF9">
            <w:pPr>
              <w:rPr>
                <w:sz w:val="24"/>
                <w:szCs w:val="24"/>
              </w:rPr>
            </w:pPr>
            <w:r>
              <w:rPr>
                <w:sz w:val="24"/>
                <w:szCs w:val="24"/>
              </w:rPr>
              <w:t xml:space="preserve">                 </w:t>
            </w:r>
            <w:r w:rsidRPr="002F6BFC">
              <w:rPr>
                <w:sz w:val="24"/>
                <w:szCs w:val="24"/>
              </w:rPr>
              <w:t>Tablet doxycyklin 100 mg x 2 daglig i 21 dage</w:t>
            </w:r>
          </w:p>
          <w:p w:rsidR="008D5AF9" w:rsidRPr="002F6BFC" w:rsidRDefault="008D5AF9" w:rsidP="008D5AF9">
            <w:pPr>
              <w:rPr>
                <w:sz w:val="24"/>
                <w:szCs w:val="24"/>
              </w:rPr>
            </w:pPr>
            <w:r>
              <w:rPr>
                <w:sz w:val="24"/>
                <w:szCs w:val="24"/>
              </w:rPr>
              <w:t xml:space="preserve">                 </w:t>
            </w:r>
            <w:r w:rsidRPr="002F6BFC">
              <w:rPr>
                <w:sz w:val="24"/>
                <w:szCs w:val="24"/>
              </w:rPr>
              <w:t>Evt. tablet azithromycin 1 g x 3 med en uges interval</w:t>
            </w:r>
          </w:p>
        </w:tc>
      </w:tr>
      <w:tr w:rsidR="008D5AF9" w:rsidRPr="002F6BFC" w:rsidTr="008D5AF9">
        <w:trPr>
          <w:trHeight w:val="1701"/>
        </w:trPr>
        <w:tc>
          <w:tcPr>
            <w:tcW w:w="3114" w:type="dxa"/>
            <w:tcBorders>
              <w:top w:val="nil"/>
              <w:left w:val="single" w:sz="4" w:space="0" w:color="auto"/>
              <w:bottom w:val="single" w:sz="4" w:space="0" w:color="auto"/>
              <w:right w:val="nil"/>
            </w:tcBorders>
          </w:tcPr>
          <w:p w:rsidR="008D5AF9" w:rsidRPr="002F6BFC" w:rsidRDefault="008D5AF9" w:rsidP="008D5AF9">
            <w:pPr>
              <w:rPr>
                <w:sz w:val="24"/>
                <w:szCs w:val="24"/>
              </w:rPr>
            </w:pPr>
          </w:p>
          <w:p w:rsidR="008D5AF9" w:rsidRPr="002F6BFC" w:rsidRDefault="008D5AF9" w:rsidP="008D5AF9">
            <w:pPr>
              <w:rPr>
                <w:sz w:val="24"/>
                <w:szCs w:val="24"/>
              </w:rPr>
            </w:pPr>
            <w:r w:rsidRPr="002F6BFC">
              <w:rPr>
                <w:sz w:val="24"/>
                <w:szCs w:val="24"/>
              </w:rPr>
              <w:t>Ulcus molle</w:t>
            </w:r>
          </w:p>
        </w:tc>
        <w:tc>
          <w:tcPr>
            <w:tcW w:w="6514" w:type="dxa"/>
            <w:tcBorders>
              <w:top w:val="nil"/>
              <w:left w:val="nil"/>
              <w:bottom w:val="single" w:sz="4" w:space="0" w:color="auto"/>
              <w:right w:val="single" w:sz="4" w:space="0" w:color="auto"/>
            </w:tcBorders>
          </w:tcPr>
          <w:p w:rsidR="008D5AF9" w:rsidRPr="002F6BFC" w:rsidRDefault="008D5AF9" w:rsidP="008D5AF9">
            <w:pPr>
              <w:autoSpaceDE w:val="0"/>
              <w:autoSpaceDN w:val="0"/>
              <w:adjustRightInd w:val="0"/>
              <w:rPr>
                <w:rFonts w:ascii="AdvTimes" w:hAnsi="AdvTimes" w:cs="AdvTimes"/>
                <w:sz w:val="24"/>
                <w:szCs w:val="24"/>
              </w:rPr>
            </w:pPr>
          </w:p>
          <w:p w:rsidR="008D5AF9" w:rsidRPr="002F6BFC" w:rsidRDefault="008D5AF9" w:rsidP="008D5AF9">
            <w:pPr>
              <w:autoSpaceDE w:val="0"/>
              <w:autoSpaceDN w:val="0"/>
              <w:adjustRightInd w:val="0"/>
              <w:rPr>
                <w:rFonts w:cstheme="minorHAnsi"/>
                <w:sz w:val="24"/>
                <w:szCs w:val="24"/>
              </w:rPr>
            </w:pPr>
            <w:r>
              <w:rPr>
                <w:rFonts w:cstheme="minorHAnsi"/>
                <w:sz w:val="24"/>
                <w:szCs w:val="24"/>
              </w:rPr>
              <w:t xml:space="preserve">                 </w:t>
            </w:r>
            <w:r w:rsidRPr="002F6BFC">
              <w:rPr>
                <w:rFonts w:cstheme="minorHAnsi"/>
                <w:sz w:val="24"/>
                <w:szCs w:val="24"/>
              </w:rPr>
              <w:t>Injektion ceftriaxon  250 mg som engangsdosis</w:t>
            </w:r>
          </w:p>
          <w:p w:rsidR="008D5AF9" w:rsidRPr="002F6BFC" w:rsidRDefault="008D5AF9" w:rsidP="008D5AF9">
            <w:pPr>
              <w:autoSpaceDE w:val="0"/>
              <w:autoSpaceDN w:val="0"/>
              <w:adjustRightInd w:val="0"/>
              <w:rPr>
                <w:rFonts w:cstheme="minorHAnsi"/>
                <w:sz w:val="24"/>
                <w:szCs w:val="24"/>
              </w:rPr>
            </w:pPr>
            <w:r>
              <w:rPr>
                <w:rFonts w:cstheme="minorHAnsi"/>
                <w:sz w:val="24"/>
                <w:szCs w:val="24"/>
              </w:rPr>
              <w:t xml:space="preserve">                 </w:t>
            </w:r>
            <w:r w:rsidRPr="002F6BFC">
              <w:rPr>
                <w:rFonts w:cstheme="minorHAnsi"/>
                <w:sz w:val="24"/>
                <w:szCs w:val="24"/>
              </w:rPr>
              <w:t>Tablet azithromycin 1 gram som engangsdosis</w:t>
            </w:r>
          </w:p>
          <w:p w:rsidR="008D5AF9" w:rsidRDefault="008D5AF9" w:rsidP="008D5AF9">
            <w:pPr>
              <w:autoSpaceDE w:val="0"/>
              <w:autoSpaceDN w:val="0"/>
              <w:adjustRightInd w:val="0"/>
              <w:rPr>
                <w:rFonts w:cstheme="minorHAnsi"/>
                <w:sz w:val="24"/>
                <w:szCs w:val="24"/>
              </w:rPr>
            </w:pPr>
            <w:r>
              <w:rPr>
                <w:rFonts w:cstheme="minorHAnsi"/>
                <w:sz w:val="24"/>
                <w:szCs w:val="24"/>
              </w:rPr>
              <w:t xml:space="preserve">                 </w:t>
            </w:r>
            <w:r w:rsidRPr="002F6BFC">
              <w:rPr>
                <w:rFonts w:cstheme="minorHAnsi"/>
                <w:sz w:val="24"/>
                <w:szCs w:val="24"/>
              </w:rPr>
              <w:t xml:space="preserve">Tablet </w:t>
            </w:r>
            <w:r>
              <w:rPr>
                <w:rFonts w:cstheme="minorHAnsi"/>
                <w:sz w:val="24"/>
                <w:szCs w:val="24"/>
              </w:rPr>
              <w:t>c</w:t>
            </w:r>
            <w:r w:rsidRPr="002F6BFC">
              <w:rPr>
                <w:rFonts w:cstheme="minorHAnsi"/>
                <w:sz w:val="24"/>
                <w:szCs w:val="24"/>
              </w:rPr>
              <w:t>iprofloxacin 500 mg x 2 daglig i 3 dage</w:t>
            </w:r>
          </w:p>
          <w:p w:rsidR="008D5AF9" w:rsidRPr="002F6BFC" w:rsidRDefault="008D5AF9" w:rsidP="008D5AF9">
            <w:pPr>
              <w:autoSpaceDE w:val="0"/>
              <w:autoSpaceDN w:val="0"/>
              <w:adjustRightInd w:val="0"/>
              <w:rPr>
                <w:sz w:val="24"/>
                <w:szCs w:val="24"/>
              </w:rPr>
            </w:pPr>
          </w:p>
        </w:tc>
      </w:tr>
    </w:tbl>
    <w:p w:rsidR="008D5AF9" w:rsidRPr="002F6BFC" w:rsidRDefault="008D5AF9" w:rsidP="008D5AF9">
      <w:pPr>
        <w:rPr>
          <w:sz w:val="24"/>
          <w:szCs w:val="24"/>
        </w:rPr>
      </w:pPr>
    </w:p>
    <w:p w:rsidR="008D5AF9" w:rsidRPr="008647BC" w:rsidRDefault="008D5AF9" w:rsidP="008D5AF9">
      <w:pPr>
        <w:rPr>
          <w:b/>
          <w:bCs/>
          <w:sz w:val="24"/>
          <w:szCs w:val="24"/>
        </w:rPr>
      </w:pPr>
      <w:r w:rsidRPr="008647BC">
        <w:rPr>
          <w:b/>
          <w:bCs/>
          <w:sz w:val="24"/>
          <w:szCs w:val="24"/>
        </w:rPr>
        <w:t>Kontrol</w:t>
      </w:r>
    </w:p>
    <w:p w:rsidR="008D5AF9" w:rsidRDefault="008D5AF9" w:rsidP="008D5AF9">
      <w:pPr>
        <w:rPr>
          <w:sz w:val="24"/>
          <w:szCs w:val="24"/>
        </w:rPr>
      </w:pPr>
      <w:r>
        <w:rPr>
          <w:sz w:val="24"/>
          <w:szCs w:val="24"/>
        </w:rPr>
        <w:t>Der anbefales ikke kontrol podning efter 21 dages doxycyklin behandling for LGV, men anbefales hvis der er givet anden behandling end doxycyklin. Der anbefales heller ikke kontrolpodning efter behandling af ulcus molle. Det anbefales for begge infektioner, at p</w:t>
      </w:r>
      <w:r w:rsidR="00655A3F">
        <w:rPr>
          <w:sz w:val="24"/>
          <w:szCs w:val="24"/>
        </w:rPr>
        <w:t>a</w:t>
      </w:r>
      <w:r>
        <w:rPr>
          <w:sz w:val="24"/>
          <w:szCs w:val="24"/>
        </w:rPr>
        <w:t>t</w:t>
      </w:r>
      <w:r w:rsidR="00655A3F">
        <w:rPr>
          <w:sz w:val="24"/>
          <w:szCs w:val="24"/>
        </w:rPr>
        <w:t>ienten</w:t>
      </w:r>
      <w:r>
        <w:rPr>
          <w:sz w:val="24"/>
          <w:szCs w:val="24"/>
        </w:rPr>
        <w:t xml:space="preserve"> ses til klinisk opfølgning, samt til relevante undersøgelser for andre SOI, og her i særdeleshed hiv og hepatitis C, i det disse infektioner faciliteres af genitale sår.</w:t>
      </w:r>
    </w:p>
    <w:p w:rsidR="008D5AF9" w:rsidRPr="005B1D59" w:rsidRDefault="008D5AF9" w:rsidP="008D5AF9">
      <w:pPr>
        <w:pStyle w:val="Overskrift2"/>
        <w:rPr>
          <w:sz w:val="28"/>
          <w:szCs w:val="28"/>
        </w:rPr>
      </w:pPr>
      <w:bookmarkStart w:id="15" w:name="_Toc86222546"/>
      <w:r w:rsidRPr="005B1D59">
        <w:rPr>
          <w:rFonts w:asciiTheme="minorHAnsi" w:hAnsiTheme="minorHAnsi" w:cstheme="minorHAnsi"/>
          <w:sz w:val="28"/>
          <w:szCs w:val="28"/>
        </w:rPr>
        <w:t>Seksuelt overførbare infektioner der giver proktit</w:t>
      </w:r>
      <w:bookmarkEnd w:id="15"/>
    </w:p>
    <w:p w:rsidR="008D5AF9" w:rsidRPr="002F6BFC" w:rsidRDefault="008D5AF9" w:rsidP="008D5AF9">
      <w:pPr>
        <w:rPr>
          <w:sz w:val="24"/>
          <w:szCs w:val="24"/>
        </w:rPr>
      </w:pPr>
    </w:p>
    <w:tbl>
      <w:tblPr>
        <w:tblW w:w="103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014"/>
        <w:gridCol w:w="2426"/>
        <w:gridCol w:w="2437"/>
        <w:gridCol w:w="3470"/>
      </w:tblGrid>
      <w:tr w:rsidR="008D5AF9" w:rsidRPr="002F6BFC" w:rsidTr="002D3B99">
        <w:trPr>
          <w:trHeight w:val="703"/>
        </w:trPr>
        <w:tc>
          <w:tcPr>
            <w:tcW w:w="10347" w:type="dxa"/>
            <w:gridSpan w:val="4"/>
            <w:tcBorders>
              <w:bottom w:val="single" w:sz="4" w:space="0" w:color="auto"/>
            </w:tcBorders>
            <w:shd w:val="clear" w:color="auto" w:fill="auto"/>
            <w:tcMar>
              <w:top w:w="72" w:type="dxa"/>
              <w:left w:w="144" w:type="dxa"/>
              <w:bottom w:w="72" w:type="dxa"/>
              <w:right w:w="144" w:type="dxa"/>
            </w:tcMar>
          </w:tcPr>
          <w:p w:rsidR="008D5AF9" w:rsidRPr="002F6BFC" w:rsidRDefault="008D5AF9" w:rsidP="008D5AF9">
            <w:pPr>
              <w:rPr>
                <w:b/>
                <w:bCs/>
                <w:sz w:val="24"/>
                <w:szCs w:val="24"/>
              </w:rPr>
            </w:pPr>
            <w:r w:rsidRPr="002F6BFC">
              <w:rPr>
                <w:b/>
                <w:bCs/>
                <w:sz w:val="24"/>
                <w:szCs w:val="24"/>
              </w:rPr>
              <w:t xml:space="preserve">Tabel </w:t>
            </w:r>
            <w:r>
              <w:rPr>
                <w:b/>
                <w:bCs/>
                <w:sz w:val="24"/>
                <w:szCs w:val="24"/>
              </w:rPr>
              <w:t>10</w:t>
            </w:r>
            <w:r w:rsidRPr="002F6BFC">
              <w:rPr>
                <w:b/>
                <w:bCs/>
                <w:sz w:val="24"/>
                <w:szCs w:val="24"/>
              </w:rPr>
              <w:t xml:space="preserve">   </w:t>
            </w:r>
            <w:r w:rsidRPr="00F85793">
              <w:rPr>
                <w:sz w:val="24"/>
                <w:szCs w:val="24"/>
              </w:rPr>
              <w:t>Oversigt over hyppigste ætiologiske seksuelt overførbare infektioner der kan forårsage proktit</w:t>
            </w:r>
          </w:p>
        </w:tc>
      </w:tr>
      <w:tr w:rsidR="008D5AF9" w:rsidRPr="002F6BFC" w:rsidTr="002D3B99">
        <w:trPr>
          <w:trHeight w:val="703"/>
        </w:trPr>
        <w:tc>
          <w:tcPr>
            <w:tcW w:w="2014" w:type="dxa"/>
            <w:tcBorders>
              <w:top w:val="single" w:sz="4" w:space="0" w:color="auto"/>
              <w:left w:val="single" w:sz="4" w:space="0" w:color="auto"/>
              <w:bottom w:val="single" w:sz="4" w:space="0" w:color="auto"/>
              <w:right w:val="nil"/>
            </w:tcBorders>
            <w:shd w:val="clear" w:color="auto" w:fill="auto"/>
            <w:tcMar>
              <w:top w:w="72" w:type="dxa"/>
              <w:left w:w="144" w:type="dxa"/>
              <w:bottom w:w="72" w:type="dxa"/>
              <w:right w:w="144" w:type="dxa"/>
            </w:tcMar>
            <w:hideMark/>
          </w:tcPr>
          <w:p w:rsidR="008D5AF9" w:rsidRPr="00FC2592" w:rsidRDefault="008D5AF9" w:rsidP="008D5AF9">
            <w:pPr>
              <w:rPr>
                <w:b/>
                <w:bCs/>
                <w:sz w:val="24"/>
                <w:szCs w:val="24"/>
              </w:rPr>
            </w:pPr>
            <w:r>
              <w:rPr>
                <w:b/>
                <w:bCs/>
                <w:sz w:val="24"/>
                <w:szCs w:val="24"/>
              </w:rPr>
              <w:t>Ætiologi</w:t>
            </w:r>
          </w:p>
        </w:tc>
        <w:tc>
          <w:tcPr>
            <w:tcW w:w="2426" w:type="dxa"/>
            <w:tcBorders>
              <w:top w:val="single" w:sz="4" w:space="0" w:color="auto"/>
              <w:left w:val="nil"/>
              <w:bottom w:val="single" w:sz="4" w:space="0" w:color="auto"/>
              <w:right w:val="nil"/>
            </w:tcBorders>
            <w:shd w:val="clear" w:color="auto" w:fill="auto"/>
            <w:tcMar>
              <w:top w:w="72" w:type="dxa"/>
              <w:left w:w="144" w:type="dxa"/>
              <w:bottom w:w="72" w:type="dxa"/>
              <w:right w:w="144" w:type="dxa"/>
            </w:tcMar>
            <w:hideMark/>
          </w:tcPr>
          <w:p w:rsidR="008D5AF9" w:rsidRPr="002F6BFC" w:rsidRDefault="008D5AF9" w:rsidP="008D5AF9">
            <w:pPr>
              <w:rPr>
                <w:sz w:val="24"/>
                <w:szCs w:val="24"/>
              </w:rPr>
            </w:pPr>
            <w:r w:rsidRPr="002F6BFC">
              <w:rPr>
                <w:b/>
                <w:bCs/>
                <w:sz w:val="24"/>
                <w:szCs w:val="24"/>
              </w:rPr>
              <w:t>Symptomer</w:t>
            </w:r>
          </w:p>
        </w:tc>
        <w:tc>
          <w:tcPr>
            <w:tcW w:w="2437" w:type="dxa"/>
            <w:tcBorders>
              <w:top w:val="single" w:sz="4" w:space="0" w:color="auto"/>
              <w:left w:val="nil"/>
              <w:bottom w:val="single" w:sz="4" w:space="0" w:color="auto"/>
              <w:right w:val="nil"/>
            </w:tcBorders>
            <w:shd w:val="clear" w:color="auto" w:fill="auto"/>
            <w:tcMar>
              <w:top w:w="72" w:type="dxa"/>
              <w:left w:w="144" w:type="dxa"/>
              <w:bottom w:w="72" w:type="dxa"/>
              <w:right w:w="144" w:type="dxa"/>
            </w:tcMar>
            <w:hideMark/>
          </w:tcPr>
          <w:p w:rsidR="008D5AF9" w:rsidRPr="002F6BFC" w:rsidRDefault="008D5AF9" w:rsidP="008D5AF9">
            <w:pPr>
              <w:rPr>
                <w:sz w:val="24"/>
                <w:szCs w:val="24"/>
              </w:rPr>
            </w:pPr>
            <w:r w:rsidRPr="002F6BFC">
              <w:rPr>
                <w:b/>
                <w:bCs/>
                <w:sz w:val="24"/>
                <w:szCs w:val="24"/>
              </w:rPr>
              <w:t>Undersøgelser</w:t>
            </w:r>
          </w:p>
        </w:tc>
        <w:tc>
          <w:tcPr>
            <w:tcW w:w="3470" w:type="dxa"/>
            <w:tcBorders>
              <w:top w:val="single" w:sz="4" w:space="0" w:color="auto"/>
              <w:left w:val="nil"/>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sz w:val="24"/>
                <w:szCs w:val="24"/>
              </w:rPr>
            </w:pPr>
            <w:r w:rsidRPr="002F6BFC">
              <w:rPr>
                <w:b/>
                <w:bCs/>
                <w:sz w:val="24"/>
                <w:szCs w:val="24"/>
              </w:rPr>
              <w:t>Behandling</w:t>
            </w:r>
          </w:p>
        </w:tc>
      </w:tr>
      <w:tr w:rsidR="008D5AF9" w:rsidRPr="002F6BFC" w:rsidTr="002D3B99">
        <w:trPr>
          <w:trHeight w:val="703"/>
        </w:trPr>
        <w:tc>
          <w:tcPr>
            <w:tcW w:w="2014" w:type="dxa"/>
            <w:tcBorders>
              <w:top w:val="single" w:sz="4" w:space="0" w:color="auto"/>
              <w:left w:val="single" w:sz="4" w:space="0" w:color="auto"/>
              <w:bottom w:val="nil"/>
              <w:right w:val="nil"/>
            </w:tcBorders>
            <w:shd w:val="clear" w:color="auto" w:fill="auto"/>
            <w:tcMar>
              <w:top w:w="72" w:type="dxa"/>
              <w:left w:w="144" w:type="dxa"/>
              <w:bottom w:w="72" w:type="dxa"/>
              <w:right w:w="144" w:type="dxa"/>
            </w:tcMar>
            <w:hideMark/>
          </w:tcPr>
          <w:p w:rsidR="008D5AF9" w:rsidRPr="002F6BFC" w:rsidRDefault="008D5AF9" w:rsidP="008D5AF9">
            <w:pPr>
              <w:rPr>
                <w:i/>
                <w:iCs/>
                <w:sz w:val="24"/>
                <w:szCs w:val="24"/>
              </w:rPr>
            </w:pPr>
            <w:r w:rsidRPr="002F6BFC">
              <w:rPr>
                <w:i/>
                <w:iCs/>
                <w:sz w:val="24"/>
                <w:szCs w:val="24"/>
              </w:rPr>
              <w:t>Neisseria gonorrhoeae</w:t>
            </w:r>
          </w:p>
        </w:tc>
        <w:tc>
          <w:tcPr>
            <w:tcW w:w="2426" w:type="dxa"/>
            <w:tcBorders>
              <w:top w:val="single" w:sz="4" w:space="0" w:color="auto"/>
              <w:left w:val="nil"/>
              <w:bottom w:val="nil"/>
              <w:right w:val="nil"/>
            </w:tcBorders>
            <w:shd w:val="clear" w:color="auto" w:fill="auto"/>
            <w:tcMar>
              <w:top w:w="72" w:type="dxa"/>
              <w:left w:w="144" w:type="dxa"/>
              <w:bottom w:w="72" w:type="dxa"/>
              <w:right w:w="144" w:type="dxa"/>
            </w:tcMar>
            <w:hideMark/>
          </w:tcPr>
          <w:p w:rsidR="008D5AF9" w:rsidRPr="002F6BFC" w:rsidRDefault="008D5AF9" w:rsidP="008D5AF9">
            <w:pPr>
              <w:pStyle w:val="Ingenafstand"/>
              <w:rPr>
                <w:sz w:val="24"/>
                <w:szCs w:val="24"/>
              </w:rPr>
            </w:pPr>
            <w:r w:rsidRPr="002F6BFC">
              <w:rPr>
                <w:sz w:val="24"/>
                <w:szCs w:val="24"/>
              </w:rPr>
              <w:t>Ofte asymptomatisk</w:t>
            </w:r>
          </w:p>
          <w:p w:rsidR="008D5AF9" w:rsidRPr="002F6BFC" w:rsidRDefault="008D5AF9" w:rsidP="008D5AF9">
            <w:pPr>
              <w:pStyle w:val="Ingenafstand"/>
              <w:rPr>
                <w:sz w:val="24"/>
                <w:szCs w:val="24"/>
              </w:rPr>
            </w:pPr>
            <w:r w:rsidRPr="002F6BFC">
              <w:rPr>
                <w:sz w:val="24"/>
                <w:szCs w:val="24"/>
              </w:rPr>
              <w:t>Purulent til blodig udflåd pr rektum</w:t>
            </w:r>
          </w:p>
          <w:p w:rsidR="008D5AF9" w:rsidRPr="002F6BFC" w:rsidRDefault="008D5AF9" w:rsidP="008D5AF9">
            <w:pPr>
              <w:pStyle w:val="Ingenafstand"/>
              <w:rPr>
                <w:sz w:val="24"/>
                <w:szCs w:val="24"/>
              </w:rPr>
            </w:pPr>
            <w:r w:rsidRPr="002F6BFC">
              <w:rPr>
                <w:sz w:val="24"/>
                <w:szCs w:val="24"/>
              </w:rPr>
              <w:t>smerter</w:t>
            </w:r>
          </w:p>
        </w:tc>
        <w:tc>
          <w:tcPr>
            <w:tcW w:w="2437" w:type="dxa"/>
            <w:tcBorders>
              <w:top w:val="single" w:sz="4" w:space="0" w:color="auto"/>
              <w:left w:val="nil"/>
              <w:bottom w:val="nil"/>
              <w:right w:val="nil"/>
            </w:tcBorders>
            <w:shd w:val="clear" w:color="auto" w:fill="auto"/>
            <w:tcMar>
              <w:top w:w="72" w:type="dxa"/>
              <w:left w:w="144" w:type="dxa"/>
              <w:bottom w:w="72" w:type="dxa"/>
              <w:right w:w="144" w:type="dxa"/>
            </w:tcMar>
            <w:hideMark/>
          </w:tcPr>
          <w:p w:rsidR="008D5AF9" w:rsidRPr="002F6BFC" w:rsidRDefault="008D5AF9" w:rsidP="008D5AF9">
            <w:pPr>
              <w:pStyle w:val="Ingenafstand"/>
              <w:rPr>
                <w:sz w:val="24"/>
                <w:szCs w:val="24"/>
              </w:rPr>
            </w:pPr>
            <w:r w:rsidRPr="002F6BFC">
              <w:rPr>
                <w:sz w:val="24"/>
                <w:szCs w:val="24"/>
              </w:rPr>
              <w:t>Direkte mikroskopi</w:t>
            </w:r>
          </w:p>
          <w:p w:rsidR="008D5AF9" w:rsidRPr="002F6BFC" w:rsidRDefault="008D5AF9" w:rsidP="008D5AF9">
            <w:pPr>
              <w:pStyle w:val="Ingenafstand"/>
              <w:rPr>
                <w:sz w:val="24"/>
                <w:szCs w:val="24"/>
              </w:rPr>
            </w:pPr>
            <w:r w:rsidRPr="002F6BFC">
              <w:rPr>
                <w:sz w:val="24"/>
                <w:szCs w:val="24"/>
              </w:rPr>
              <w:t>Podning til NAT</w:t>
            </w:r>
          </w:p>
          <w:p w:rsidR="008D5AF9" w:rsidRPr="002F6BFC" w:rsidRDefault="008D5AF9" w:rsidP="008D5AF9">
            <w:pPr>
              <w:pStyle w:val="Ingenafstand"/>
              <w:rPr>
                <w:sz w:val="24"/>
                <w:szCs w:val="24"/>
              </w:rPr>
            </w:pPr>
            <w:r w:rsidRPr="002F6BFC">
              <w:rPr>
                <w:sz w:val="24"/>
                <w:szCs w:val="24"/>
              </w:rPr>
              <w:t>Podning til D+R</w:t>
            </w:r>
          </w:p>
        </w:tc>
        <w:tc>
          <w:tcPr>
            <w:tcW w:w="3470" w:type="dxa"/>
            <w:tcBorders>
              <w:top w:val="single" w:sz="4" w:space="0" w:color="auto"/>
              <w:left w:val="nil"/>
              <w:bottom w:val="nil"/>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pStyle w:val="Ingenafstand"/>
              <w:rPr>
                <w:sz w:val="24"/>
                <w:szCs w:val="24"/>
              </w:rPr>
            </w:pPr>
            <w:r w:rsidRPr="002F6BFC">
              <w:rPr>
                <w:sz w:val="24"/>
                <w:szCs w:val="24"/>
              </w:rPr>
              <w:t>Inj. ceftriaxon 500 mg x 1 i.m</w:t>
            </w:r>
            <w:r>
              <w:rPr>
                <w:sz w:val="24"/>
                <w:szCs w:val="24"/>
              </w:rPr>
              <w:t>.</w:t>
            </w:r>
            <w:r w:rsidRPr="002F6BFC">
              <w:rPr>
                <w:sz w:val="24"/>
                <w:szCs w:val="24"/>
              </w:rPr>
              <w:t xml:space="preserve"> (engangsdosis) </w:t>
            </w:r>
          </w:p>
          <w:p w:rsidR="008D5AF9" w:rsidRPr="002F6BFC" w:rsidRDefault="008D5AF9" w:rsidP="008D5AF9">
            <w:pPr>
              <w:pStyle w:val="Ingenafstand"/>
              <w:rPr>
                <w:sz w:val="24"/>
                <w:szCs w:val="24"/>
              </w:rPr>
            </w:pPr>
            <w:r w:rsidRPr="002F6BFC">
              <w:rPr>
                <w:sz w:val="24"/>
                <w:szCs w:val="24"/>
              </w:rPr>
              <w:t xml:space="preserve">Ved penicillin anafylaksi </w:t>
            </w:r>
          </w:p>
          <w:p w:rsidR="008D5AF9" w:rsidRPr="002F6BFC" w:rsidRDefault="008D5AF9" w:rsidP="008D5AF9">
            <w:pPr>
              <w:pStyle w:val="Ingenafstand"/>
              <w:rPr>
                <w:sz w:val="24"/>
                <w:szCs w:val="24"/>
              </w:rPr>
            </w:pPr>
            <w:r w:rsidRPr="002F6BFC">
              <w:rPr>
                <w:sz w:val="24"/>
                <w:szCs w:val="24"/>
              </w:rPr>
              <w:t>gentamicin 240 mg im</w:t>
            </w:r>
          </w:p>
        </w:tc>
      </w:tr>
      <w:tr w:rsidR="008D5AF9" w:rsidRPr="002F6BFC" w:rsidTr="002D3B99">
        <w:trPr>
          <w:trHeight w:val="703"/>
        </w:trPr>
        <w:tc>
          <w:tcPr>
            <w:tcW w:w="2014" w:type="dxa"/>
            <w:tcBorders>
              <w:top w:val="nil"/>
              <w:left w:val="single" w:sz="4" w:space="0" w:color="auto"/>
              <w:bottom w:val="nil"/>
              <w:right w:val="nil"/>
            </w:tcBorders>
            <w:shd w:val="clear" w:color="auto" w:fill="auto"/>
            <w:tcMar>
              <w:top w:w="72" w:type="dxa"/>
              <w:left w:w="144" w:type="dxa"/>
              <w:bottom w:w="72" w:type="dxa"/>
              <w:right w:w="144" w:type="dxa"/>
            </w:tcMar>
            <w:hideMark/>
          </w:tcPr>
          <w:p w:rsidR="008D5AF9" w:rsidRPr="002F6BFC" w:rsidRDefault="008D5AF9" w:rsidP="008D5AF9">
            <w:pPr>
              <w:rPr>
                <w:sz w:val="24"/>
                <w:szCs w:val="24"/>
              </w:rPr>
            </w:pPr>
            <w:r w:rsidRPr="002F6BFC">
              <w:rPr>
                <w:i/>
                <w:iCs/>
                <w:sz w:val="24"/>
                <w:szCs w:val="24"/>
              </w:rPr>
              <w:t>Chlamydia trachomatis</w:t>
            </w:r>
            <w:r w:rsidRPr="002F6BFC">
              <w:rPr>
                <w:sz w:val="24"/>
                <w:szCs w:val="24"/>
              </w:rPr>
              <w:t xml:space="preserve"> (anogenital </w:t>
            </w:r>
            <w:r>
              <w:rPr>
                <w:sz w:val="24"/>
                <w:szCs w:val="24"/>
              </w:rPr>
              <w:t>k</w:t>
            </w:r>
            <w:r w:rsidRPr="002F6BFC">
              <w:rPr>
                <w:sz w:val="24"/>
                <w:szCs w:val="24"/>
              </w:rPr>
              <w:t>lamydia), serovar D-K</w:t>
            </w:r>
          </w:p>
        </w:tc>
        <w:tc>
          <w:tcPr>
            <w:tcW w:w="2426" w:type="dxa"/>
            <w:tcBorders>
              <w:top w:val="nil"/>
              <w:left w:val="nil"/>
              <w:bottom w:val="nil"/>
              <w:right w:val="nil"/>
            </w:tcBorders>
            <w:shd w:val="clear" w:color="auto" w:fill="auto"/>
            <w:tcMar>
              <w:top w:w="72" w:type="dxa"/>
              <w:left w:w="144" w:type="dxa"/>
              <w:bottom w:w="72" w:type="dxa"/>
              <w:right w:w="144" w:type="dxa"/>
            </w:tcMar>
            <w:hideMark/>
          </w:tcPr>
          <w:p w:rsidR="008D5AF9" w:rsidRPr="002F6BFC" w:rsidRDefault="008D5AF9" w:rsidP="008D5AF9">
            <w:pPr>
              <w:pStyle w:val="Ingenafstand"/>
              <w:rPr>
                <w:sz w:val="24"/>
                <w:szCs w:val="24"/>
              </w:rPr>
            </w:pPr>
            <w:r w:rsidRPr="002F6BFC">
              <w:rPr>
                <w:sz w:val="24"/>
                <w:szCs w:val="24"/>
              </w:rPr>
              <w:t>Ofte asymptomatisk</w:t>
            </w:r>
          </w:p>
          <w:p w:rsidR="008D5AF9" w:rsidRPr="002F6BFC" w:rsidRDefault="008D5AF9" w:rsidP="008D5AF9">
            <w:pPr>
              <w:pStyle w:val="Ingenafstand"/>
              <w:rPr>
                <w:sz w:val="24"/>
                <w:szCs w:val="24"/>
              </w:rPr>
            </w:pPr>
            <w:r w:rsidRPr="002F6BFC">
              <w:rPr>
                <w:sz w:val="24"/>
                <w:szCs w:val="24"/>
              </w:rPr>
              <w:t>Klart udflåd pr. rektum</w:t>
            </w:r>
          </w:p>
        </w:tc>
        <w:tc>
          <w:tcPr>
            <w:tcW w:w="2437" w:type="dxa"/>
            <w:tcBorders>
              <w:top w:val="nil"/>
              <w:left w:val="nil"/>
              <w:bottom w:val="nil"/>
              <w:right w:val="nil"/>
            </w:tcBorders>
            <w:shd w:val="clear" w:color="auto" w:fill="auto"/>
            <w:tcMar>
              <w:top w:w="72" w:type="dxa"/>
              <w:left w:w="144" w:type="dxa"/>
              <w:bottom w:w="72" w:type="dxa"/>
              <w:right w:w="144" w:type="dxa"/>
            </w:tcMar>
            <w:hideMark/>
          </w:tcPr>
          <w:p w:rsidR="008D5AF9" w:rsidRPr="002F6BFC" w:rsidRDefault="008D5AF9" w:rsidP="008D5AF9">
            <w:pPr>
              <w:pStyle w:val="Ingenafstand"/>
              <w:rPr>
                <w:sz w:val="24"/>
                <w:szCs w:val="24"/>
              </w:rPr>
            </w:pPr>
            <w:r w:rsidRPr="002F6BFC">
              <w:rPr>
                <w:sz w:val="24"/>
                <w:szCs w:val="24"/>
              </w:rPr>
              <w:t>Direkte mikroskopi</w:t>
            </w:r>
          </w:p>
          <w:p w:rsidR="008D5AF9" w:rsidRPr="002F6BFC" w:rsidRDefault="008D5AF9" w:rsidP="008D5AF9">
            <w:pPr>
              <w:pStyle w:val="Ingenafstand"/>
              <w:rPr>
                <w:sz w:val="24"/>
                <w:szCs w:val="24"/>
              </w:rPr>
            </w:pPr>
            <w:r w:rsidRPr="002F6BFC">
              <w:rPr>
                <w:sz w:val="24"/>
                <w:szCs w:val="24"/>
              </w:rPr>
              <w:t>Podning til NAT</w:t>
            </w:r>
          </w:p>
        </w:tc>
        <w:tc>
          <w:tcPr>
            <w:tcW w:w="3470" w:type="dxa"/>
            <w:tcBorders>
              <w:top w:val="nil"/>
              <w:left w:val="nil"/>
              <w:bottom w:val="nil"/>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pStyle w:val="Ingenafstand"/>
              <w:rPr>
                <w:sz w:val="24"/>
                <w:szCs w:val="24"/>
              </w:rPr>
            </w:pPr>
            <w:r w:rsidRPr="002F6BFC">
              <w:rPr>
                <w:sz w:val="24"/>
                <w:szCs w:val="24"/>
              </w:rPr>
              <w:t>Tbl. doxycyklin 100 mg x 2 i 7 dage</w:t>
            </w:r>
          </w:p>
        </w:tc>
      </w:tr>
      <w:tr w:rsidR="008D5AF9" w:rsidRPr="002F6BFC" w:rsidTr="002D3B99">
        <w:trPr>
          <w:trHeight w:val="703"/>
        </w:trPr>
        <w:tc>
          <w:tcPr>
            <w:tcW w:w="2014" w:type="dxa"/>
            <w:tcBorders>
              <w:top w:val="nil"/>
              <w:left w:val="single" w:sz="4" w:space="0" w:color="auto"/>
              <w:bottom w:val="nil"/>
              <w:right w:val="nil"/>
            </w:tcBorders>
            <w:shd w:val="clear" w:color="auto" w:fill="auto"/>
            <w:tcMar>
              <w:top w:w="72" w:type="dxa"/>
              <w:left w:w="144" w:type="dxa"/>
              <w:bottom w:w="72" w:type="dxa"/>
              <w:right w:w="144" w:type="dxa"/>
            </w:tcMar>
            <w:hideMark/>
          </w:tcPr>
          <w:p w:rsidR="008D5AF9" w:rsidRPr="002F6BFC" w:rsidRDefault="008D5AF9" w:rsidP="008D5AF9">
            <w:pPr>
              <w:rPr>
                <w:sz w:val="24"/>
                <w:szCs w:val="24"/>
                <w:lang w:val="en-US"/>
              </w:rPr>
            </w:pPr>
            <w:r w:rsidRPr="002F6BFC">
              <w:rPr>
                <w:i/>
                <w:iCs/>
                <w:sz w:val="24"/>
                <w:szCs w:val="24"/>
                <w:lang w:val="en-US"/>
              </w:rPr>
              <w:t>Chlamydia trachomatis</w:t>
            </w:r>
            <w:r w:rsidRPr="002F6BFC">
              <w:rPr>
                <w:sz w:val="24"/>
                <w:szCs w:val="24"/>
                <w:lang w:val="en-US"/>
              </w:rPr>
              <w:t xml:space="preserve"> L1-L3 (Lymfogranuloma venereum)</w:t>
            </w:r>
          </w:p>
        </w:tc>
        <w:tc>
          <w:tcPr>
            <w:tcW w:w="2426" w:type="dxa"/>
            <w:tcBorders>
              <w:top w:val="nil"/>
              <w:left w:val="nil"/>
              <w:bottom w:val="nil"/>
              <w:right w:val="nil"/>
            </w:tcBorders>
            <w:shd w:val="clear" w:color="auto" w:fill="auto"/>
            <w:tcMar>
              <w:top w:w="72" w:type="dxa"/>
              <w:left w:w="144" w:type="dxa"/>
              <w:bottom w:w="72" w:type="dxa"/>
              <w:right w:w="144" w:type="dxa"/>
            </w:tcMar>
            <w:hideMark/>
          </w:tcPr>
          <w:p w:rsidR="008D5AF9" w:rsidRPr="002F6BFC" w:rsidRDefault="008D5AF9" w:rsidP="008D5AF9">
            <w:pPr>
              <w:rPr>
                <w:sz w:val="24"/>
                <w:szCs w:val="24"/>
              </w:rPr>
            </w:pPr>
            <w:r w:rsidRPr="002F6BFC">
              <w:rPr>
                <w:sz w:val="24"/>
                <w:szCs w:val="24"/>
              </w:rPr>
              <w:t>Smerter og udflåd ofte blodigt pr. rektum</w:t>
            </w:r>
          </w:p>
        </w:tc>
        <w:tc>
          <w:tcPr>
            <w:tcW w:w="2437" w:type="dxa"/>
            <w:tcBorders>
              <w:top w:val="nil"/>
              <w:left w:val="nil"/>
              <w:bottom w:val="nil"/>
              <w:right w:val="nil"/>
            </w:tcBorders>
            <w:shd w:val="clear" w:color="auto" w:fill="auto"/>
            <w:tcMar>
              <w:top w:w="72" w:type="dxa"/>
              <w:left w:w="144" w:type="dxa"/>
              <w:bottom w:w="72" w:type="dxa"/>
              <w:right w:w="144" w:type="dxa"/>
            </w:tcMar>
            <w:hideMark/>
          </w:tcPr>
          <w:p w:rsidR="008D5AF9" w:rsidRPr="002F6BFC" w:rsidRDefault="008D5AF9" w:rsidP="008D5AF9">
            <w:pPr>
              <w:rPr>
                <w:sz w:val="24"/>
                <w:szCs w:val="24"/>
              </w:rPr>
            </w:pPr>
            <w:r w:rsidRPr="002F6BFC">
              <w:rPr>
                <w:sz w:val="24"/>
                <w:szCs w:val="24"/>
              </w:rPr>
              <w:t>Podning til PCR til SSI</w:t>
            </w:r>
          </w:p>
        </w:tc>
        <w:tc>
          <w:tcPr>
            <w:tcW w:w="3470" w:type="dxa"/>
            <w:tcBorders>
              <w:top w:val="nil"/>
              <w:left w:val="nil"/>
              <w:bottom w:val="nil"/>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sz w:val="24"/>
                <w:szCs w:val="24"/>
              </w:rPr>
            </w:pPr>
            <w:r w:rsidRPr="002F6BFC">
              <w:rPr>
                <w:sz w:val="24"/>
                <w:szCs w:val="24"/>
              </w:rPr>
              <w:t>Tbl doxycyklin 100 mg x 2 i 21 dage</w:t>
            </w:r>
          </w:p>
        </w:tc>
      </w:tr>
      <w:tr w:rsidR="008D5AF9" w:rsidRPr="002F6BFC" w:rsidTr="002D3B99">
        <w:trPr>
          <w:trHeight w:val="703"/>
        </w:trPr>
        <w:tc>
          <w:tcPr>
            <w:tcW w:w="2014" w:type="dxa"/>
            <w:tcBorders>
              <w:top w:val="nil"/>
              <w:left w:val="single" w:sz="4" w:space="0" w:color="auto"/>
              <w:bottom w:val="nil"/>
              <w:right w:val="nil"/>
            </w:tcBorders>
            <w:shd w:val="clear" w:color="auto" w:fill="auto"/>
            <w:tcMar>
              <w:top w:w="72" w:type="dxa"/>
              <w:left w:w="144" w:type="dxa"/>
              <w:bottom w:w="72" w:type="dxa"/>
              <w:right w:w="144" w:type="dxa"/>
            </w:tcMar>
          </w:tcPr>
          <w:p w:rsidR="008D5AF9" w:rsidRPr="002F6BFC" w:rsidRDefault="008D5AF9" w:rsidP="008D5AF9">
            <w:pPr>
              <w:rPr>
                <w:i/>
                <w:iCs/>
                <w:sz w:val="24"/>
                <w:szCs w:val="24"/>
              </w:rPr>
            </w:pPr>
            <w:r w:rsidRPr="002F6BFC">
              <w:rPr>
                <w:i/>
                <w:iCs/>
                <w:sz w:val="24"/>
                <w:szCs w:val="24"/>
              </w:rPr>
              <w:t>Mycoplasma genitalium</w:t>
            </w:r>
            <w:r w:rsidRPr="002F6BFC">
              <w:rPr>
                <w:rFonts w:cstheme="minorHAnsi"/>
                <w:i/>
                <w:iCs/>
                <w:sz w:val="24"/>
                <w:szCs w:val="24"/>
              </w:rPr>
              <w:t>¹</w:t>
            </w:r>
          </w:p>
        </w:tc>
        <w:tc>
          <w:tcPr>
            <w:tcW w:w="2426" w:type="dxa"/>
            <w:tcBorders>
              <w:top w:val="nil"/>
              <w:left w:val="nil"/>
              <w:bottom w:val="nil"/>
              <w:right w:val="nil"/>
            </w:tcBorders>
            <w:shd w:val="clear" w:color="auto" w:fill="auto"/>
            <w:tcMar>
              <w:top w:w="72" w:type="dxa"/>
              <w:left w:w="144" w:type="dxa"/>
              <w:bottom w:w="72" w:type="dxa"/>
              <w:right w:w="144" w:type="dxa"/>
            </w:tcMar>
          </w:tcPr>
          <w:p w:rsidR="008D5AF9" w:rsidRPr="002F6BFC" w:rsidRDefault="008D5AF9" w:rsidP="008D5AF9">
            <w:pPr>
              <w:rPr>
                <w:sz w:val="24"/>
                <w:szCs w:val="24"/>
              </w:rPr>
            </w:pPr>
            <w:r w:rsidRPr="002F6BFC">
              <w:rPr>
                <w:sz w:val="24"/>
                <w:szCs w:val="24"/>
              </w:rPr>
              <w:t>Mindre udtalte symptomer sammenlignet med rektal CT og GK</w:t>
            </w:r>
          </w:p>
        </w:tc>
        <w:tc>
          <w:tcPr>
            <w:tcW w:w="2437" w:type="dxa"/>
            <w:tcBorders>
              <w:top w:val="nil"/>
              <w:left w:val="nil"/>
              <w:bottom w:val="nil"/>
              <w:right w:val="nil"/>
            </w:tcBorders>
            <w:shd w:val="clear" w:color="auto" w:fill="auto"/>
            <w:tcMar>
              <w:top w:w="72" w:type="dxa"/>
              <w:left w:w="144" w:type="dxa"/>
              <w:bottom w:w="72" w:type="dxa"/>
              <w:right w:w="144" w:type="dxa"/>
            </w:tcMar>
          </w:tcPr>
          <w:p w:rsidR="008D5AF9" w:rsidRPr="002F6BFC" w:rsidRDefault="008D5AF9" w:rsidP="008D5AF9">
            <w:pPr>
              <w:rPr>
                <w:sz w:val="24"/>
                <w:szCs w:val="24"/>
              </w:rPr>
            </w:pPr>
            <w:r w:rsidRPr="002F6BFC">
              <w:rPr>
                <w:sz w:val="24"/>
                <w:szCs w:val="24"/>
              </w:rPr>
              <w:t>Podning til NAT</w:t>
            </w:r>
          </w:p>
        </w:tc>
        <w:tc>
          <w:tcPr>
            <w:tcW w:w="3470" w:type="dxa"/>
            <w:tcBorders>
              <w:top w:val="nil"/>
              <w:left w:val="nil"/>
              <w:bottom w:val="nil"/>
              <w:right w:val="single" w:sz="4" w:space="0" w:color="auto"/>
            </w:tcBorders>
            <w:shd w:val="clear" w:color="auto" w:fill="auto"/>
            <w:tcMar>
              <w:top w:w="72" w:type="dxa"/>
              <w:left w:w="144" w:type="dxa"/>
              <w:bottom w:w="72" w:type="dxa"/>
              <w:right w:w="144" w:type="dxa"/>
            </w:tcMar>
          </w:tcPr>
          <w:p w:rsidR="008D5AF9" w:rsidRPr="002F6BFC" w:rsidRDefault="008D5AF9" w:rsidP="008D5AF9">
            <w:pPr>
              <w:pStyle w:val="Ingenafstand"/>
              <w:rPr>
                <w:sz w:val="24"/>
                <w:szCs w:val="24"/>
              </w:rPr>
            </w:pPr>
            <w:r w:rsidRPr="002F6BFC">
              <w:rPr>
                <w:sz w:val="24"/>
                <w:szCs w:val="24"/>
              </w:rPr>
              <w:t>Tbl. azithromycin 500 mg dag 1, 250 mg dag 2-5</w:t>
            </w:r>
          </w:p>
          <w:p w:rsidR="008D5AF9" w:rsidRPr="002F6BFC" w:rsidRDefault="008D5AF9" w:rsidP="008D5AF9">
            <w:pPr>
              <w:pStyle w:val="Ingenafstand"/>
              <w:rPr>
                <w:sz w:val="24"/>
                <w:szCs w:val="24"/>
              </w:rPr>
            </w:pPr>
            <w:r w:rsidRPr="002F6BFC">
              <w:rPr>
                <w:sz w:val="24"/>
                <w:szCs w:val="24"/>
              </w:rPr>
              <w:t>Tbl. moxifloxacin 400 mg x 1 daglig i 7 dage</w:t>
            </w:r>
          </w:p>
          <w:p w:rsidR="008D5AF9" w:rsidRPr="002F6BFC" w:rsidRDefault="008D5AF9" w:rsidP="008D5AF9">
            <w:pPr>
              <w:pStyle w:val="Ingenafstand"/>
              <w:rPr>
                <w:sz w:val="24"/>
                <w:szCs w:val="24"/>
              </w:rPr>
            </w:pPr>
            <w:r w:rsidRPr="002F6BFC">
              <w:rPr>
                <w:sz w:val="24"/>
                <w:szCs w:val="24"/>
              </w:rPr>
              <w:t>Tbl. pristinamycin 1 g x 4 i 10 dage</w:t>
            </w:r>
          </w:p>
        </w:tc>
      </w:tr>
      <w:tr w:rsidR="008D5AF9" w:rsidRPr="00D26F02" w:rsidTr="002D3B99">
        <w:trPr>
          <w:trHeight w:val="703"/>
        </w:trPr>
        <w:tc>
          <w:tcPr>
            <w:tcW w:w="2014" w:type="dxa"/>
            <w:tcBorders>
              <w:top w:val="nil"/>
              <w:left w:val="single" w:sz="4" w:space="0" w:color="auto"/>
              <w:bottom w:val="nil"/>
              <w:right w:val="nil"/>
            </w:tcBorders>
            <w:shd w:val="clear" w:color="auto" w:fill="auto"/>
            <w:tcMar>
              <w:top w:w="72" w:type="dxa"/>
              <w:left w:w="144" w:type="dxa"/>
              <w:bottom w:w="72" w:type="dxa"/>
              <w:right w:w="144" w:type="dxa"/>
            </w:tcMar>
            <w:hideMark/>
          </w:tcPr>
          <w:p w:rsidR="008D5AF9" w:rsidRPr="002F6BFC" w:rsidRDefault="008D5AF9" w:rsidP="008D5AF9">
            <w:pPr>
              <w:rPr>
                <w:i/>
                <w:iCs/>
                <w:sz w:val="24"/>
                <w:szCs w:val="24"/>
              </w:rPr>
            </w:pPr>
            <w:r w:rsidRPr="002F6BFC">
              <w:rPr>
                <w:i/>
                <w:iCs/>
                <w:sz w:val="24"/>
                <w:szCs w:val="24"/>
              </w:rPr>
              <w:t>Treponema pallidum</w:t>
            </w:r>
          </w:p>
        </w:tc>
        <w:tc>
          <w:tcPr>
            <w:tcW w:w="2426" w:type="dxa"/>
            <w:tcBorders>
              <w:top w:val="nil"/>
              <w:left w:val="nil"/>
              <w:bottom w:val="nil"/>
              <w:right w:val="nil"/>
            </w:tcBorders>
            <w:shd w:val="clear" w:color="auto" w:fill="auto"/>
            <w:tcMar>
              <w:top w:w="72" w:type="dxa"/>
              <w:left w:w="144" w:type="dxa"/>
              <w:bottom w:w="72" w:type="dxa"/>
              <w:right w:w="144" w:type="dxa"/>
            </w:tcMar>
            <w:hideMark/>
          </w:tcPr>
          <w:p w:rsidR="008D5AF9" w:rsidRPr="002F6BFC" w:rsidRDefault="008D5AF9" w:rsidP="008D5AF9">
            <w:pPr>
              <w:rPr>
                <w:sz w:val="24"/>
                <w:szCs w:val="24"/>
              </w:rPr>
            </w:pPr>
            <w:r w:rsidRPr="002F6BFC">
              <w:rPr>
                <w:sz w:val="24"/>
                <w:szCs w:val="24"/>
              </w:rPr>
              <w:t>Ulcerationer</w:t>
            </w:r>
          </w:p>
        </w:tc>
        <w:tc>
          <w:tcPr>
            <w:tcW w:w="2437" w:type="dxa"/>
            <w:tcBorders>
              <w:top w:val="nil"/>
              <w:left w:val="nil"/>
              <w:bottom w:val="nil"/>
              <w:right w:val="nil"/>
            </w:tcBorders>
            <w:shd w:val="clear" w:color="auto" w:fill="auto"/>
            <w:tcMar>
              <w:top w:w="72" w:type="dxa"/>
              <w:left w:w="144" w:type="dxa"/>
              <w:bottom w:w="72" w:type="dxa"/>
              <w:right w:w="144" w:type="dxa"/>
            </w:tcMar>
            <w:hideMark/>
          </w:tcPr>
          <w:p w:rsidR="008D5AF9" w:rsidRPr="002F6BFC" w:rsidRDefault="008D5AF9" w:rsidP="008D5AF9">
            <w:pPr>
              <w:pStyle w:val="Ingenafstand"/>
              <w:rPr>
                <w:sz w:val="24"/>
                <w:szCs w:val="24"/>
              </w:rPr>
            </w:pPr>
            <w:r w:rsidRPr="002F6BFC">
              <w:rPr>
                <w:sz w:val="24"/>
                <w:szCs w:val="24"/>
              </w:rPr>
              <w:t>Mørkefeltsmikroskopi</w:t>
            </w:r>
          </w:p>
          <w:p w:rsidR="008D5AF9" w:rsidRPr="002F6BFC" w:rsidRDefault="008D5AF9" w:rsidP="008D5AF9">
            <w:pPr>
              <w:pStyle w:val="Ingenafstand"/>
              <w:rPr>
                <w:sz w:val="24"/>
                <w:szCs w:val="24"/>
              </w:rPr>
            </w:pPr>
            <w:r w:rsidRPr="002F6BFC">
              <w:rPr>
                <w:sz w:val="24"/>
                <w:szCs w:val="24"/>
              </w:rPr>
              <w:t>TP PCR</w:t>
            </w:r>
          </w:p>
          <w:p w:rsidR="008D5AF9" w:rsidRPr="002F6BFC" w:rsidRDefault="008D5AF9" w:rsidP="008D5AF9">
            <w:pPr>
              <w:pStyle w:val="Ingenafstand"/>
              <w:rPr>
                <w:sz w:val="24"/>
                <w:szCs w:val="24"/>
              </w:rPr>
            </w:pPr>
            <w:r w:rsidRPr="002F6BFC">
              <w:rPr>
                <w:sz w:val="24"/>
                <w:szCs w:val="24"/>
              </w:rPr>
              <w:t>Serologi</w:t>
            </w:r>
          </w:p>
        </w:tc>
        <w:tc>
          <w:tcPr>
            <w:tcW w:w="3470" w:type="dxa"/>
            <w:tcBorders>
              <w:top w:val="nil"/>
              <w:left w:val="nil"/>
              <w:bottom w:val="nil"/>
              <w:right w:val="single" w:sz="4" w:space="0" w:color="auto"/>
            </w:tcBorders>
            <w:shd w:val="clear" w:color="auto" w:fill="auto"/>
            <w:tcMar>
              <w:top w:w="72" w:type="dxa"/>
              <w:left w:w="144" w:type="dxa"/>
              <w:bottom w:w="72" w:type="dxa"/>
              <w:right w:w="144" w:type="dxa"/>
            </w:tcMar>
            <w:hideMark/>
          </w:tcPr>
          <w:p w:rsidR="008D5AF9" w:rsidRPr="008D5AF9" w:rsidRDefault="008D5AF9" w:rsidP="008D5AF9">
            <w:pPr>
              <w:rPr>
                <w:sz w:val="24"/>
                <w:szCs w:val="24"/>
                <w:lang w:val="en-US"/>
              </w:rPr>
            </w:pPr>
            <w:r w:rsidRPr="008D5AF9">
              <w:rPr>
                <w:sz w:val="24"/>
                <w:szCs w:val="24"/>
                <w:lang w:val="en-US"/>
              </w:rPr>
              <w:t xml:space="preserve">Inj. </w:t>
            </w:r>
            <w:r>
              <w:rPr>
                <w:sz w:val="24"/>
                <w:szCs w:val="24"/>
                <w:lang w:val="en-US"/>
              </w:rPr>
              <w:t>benzathinpenicillin</w:t>
            </w:r>
            <w:r w:rsidRPr="008D5AF9">
              <w:rPr>
                <w:sz w:val="24"/>
                <w:szCs w:val="24"/>
                <w:lang w:val="en-US"/>
              </w:rPr>
              <w:t xml:space="preserve"> 2.4 MIE i.m.</w:t>
            </w:r>
          </w:p>
        </w:tc>
      </w:tr>
      <w:tr w:rsidR="008D5AF9" w:rsidRPr="002F6BFC" w:rsidTr="002D3B99">
        <w:trPr>
          <w:trHeight w:val="703"/>
        </w:trPr>
        <w:tc>
          <w:tcPr>
            <w:tcW w:w="2014" w:type="dxa"/>
            <w:tcBorders>
              <w:top w:val="nil"/>
              <w:left w:val="single" w:sz="4" w:space="0" w:color="auto"/>
              <w:bottom w:val="single" w:sz="4" w:space="0" w:color="auto"/>
              <w:right w:val="nil"/>
            </w:tcBorders>
            <w:shd w:val="clear" w:color="auto" w:fill="auto"/>
            <w:tcMar>
              <w:top w:w="72" w:type="dxa"/>
              <w:left w:w="144" w:type="dxa"/>
              <w:bottom w:w="72" w:type="dxa"/>
              <w:right w:w="144" w:type="dxa"/>
            </w:tcMar>
            <w:hideMark/>
          </w:tcPr>
          <w:p w:rsidR="008D5AF9" w:rsidRPr="002F6BFC" w:rsidRDefault="008D5AF9" w:rsidP="008D5AF9">
            <w:pPr>
              <w:rPr>
                <w:sz w:val="24"/>
                <w:szCs w:val="24"/>
              </w:rPr>
            </w:pPr>
            <w:r w:rsidRPr="002F6BFC">
              <w:rPr>
                <w:sz w:val="24"/>
                <w:szCs w:val="24"/>
              </w:rPr>
              <w:t>Herpes simplex virus</w:t>
            </w:r>
          </w:p>
        </w:tc>
        <w:tc>
          <w:tcPr>
            <w:tcW w:w="2426" w:type="dxa"/>
            <w:tcBorders>
              <w:top w:val="nil"/>
              <w:left w:val="nil"/>
              <w:bottom w:val="single" w:sz="4" w:space="0" w:color="auto"/>
              <w:right w:val="nil"/>
            </w:tcBorders>
            <w:shd w:val="clear" w:color="auto" w:fill="auto"/>
            <w:tcMar>
              <w:top w:w="72" w:type="dxa"/>
              <w:left w:w="144" w:type="dxa"/>
              <w:bottom w:w="72" w:type="dxa"/>
              <w:right w:w="144" w:type="dxa"/>
            </w:tcMar>
            <w:hideMark/>
          </w:tcPr>
          <w:p w:rsidR="008D5AF9" w:rsidRPr="002F6BFC" w:rsidRDefault="008D5AF9" w:rsidP="008D5AF9">
            <w:pPr>
              <w:pStyle w:val="Ingenafstand"/>
              <w:rPr>
                <w:sz w:val="24"/>
                <w:szCs w:val="24"/>
              </w:rPr>
            </w:pPr>
            <w:r w:rsidRPr="002F6BFC">
              <w:rPr>
                <w:sz w:val="24"/>
                <w:szCs w:val="24"/>
              </w:rPr>
              <w:t>Smerter</w:t>
            </w:r>
          </w:p>
          <w:p w:rsidR="008D5AF9" w:rsidRPr="002F6BFC" w:rsidRDefault="008D5AF9" w:rsidP="008D5AF9">
            <w:pPr>
              <w:pStyle w:val="Ingenafstand"/>
              <w:rPr>
                <w:sz w:val="24"/>
                <w:szCs w:val="24"/>
              </w:rPr>
            </w:pPr>
            <w:r w:rsidRPr="002F6BFC">
              <w:rPr>
                <w:sz w:val="24"/>
                <w:szCs w:val="24"/>
              </w:rPr>
              <w:t>Ofte vesikler eller erosioner perianalt</w:t>
            </w:r>
          </w:p>
        </w:tc>
        <w:tc>
          <w:tcPr>
            <w:tcW w:w="2437" w:type="dxa"/>
            <w:tcBorders>
              <w:top w:val="nil"/>
              <w:left w:val="nil"/>
              <w:bottom w:val="single" w:sz="4" w:space="0" w:color="auto"/>
              <w:right w:val="nil"/>
            </w:tcBorders>
            <w:shd w:val="clear" w:color="auto" w:fill="auto"/>
            <w:tcMar>
              <w:top w:w="72" w:type="dxa"/>
              <w:left w:w="144" w:type="dxa"/>
              <w:bottom w:w="72" w:type="dxa"/>
              <w:right w:w="144" w:type="dxa"/>
            </w:tcMar>
            <w:hideMark/>
          </w:tcPr>
          <w:p w:rsidR="008D5AF9" w:rsidRPr="002F6BFC" w:rsidRDefault="008D5AF9" w:rsidP="008D5AF9">
            <w:pPr>
              <w:rPr>
                <w:sz w:val="24"/>
                <w:szCs w:val="24"/>
              </w:rPr>
            </w:pPr>
            <w:r w:rsidRPr="002F6BFC">
              <w:rPr>
                <w:sz w:val="24"/>
                <w:szCs w:val="24"/>
              </w:rPr>
              <w:t>PCR</w:t>
            </w:r>
          </w:p>
        </w:tc>
        <w:tc>
          <w:tcPr>
            <w:tcW w:w="3470" w:type="dxa"/>
            <w:tcBorders>
              <w:top w:val="nil"/>
              <w:left w:val="nil"/>
              <w:bottom w:val="single" w:sz="4" w:space="0" w:color="auto"/>
              <w:right w:val="single" w:sz="4" w:space="0" w:color="auto"/>
            </w:tcBorders>
            <w:shd w:val="clear" w:color="auto" w:fill="auto"/>
            <w:tcMar>
              <w:top w:w="72" w:type="dxa"/>
              <w:left w:w="144" w:type="dxa"/>
              <w:bottom w:w="72" w:type="dxa"/>
              <w:right w:w="144" w:type="dxa"/>
            </w:tcMar>
            <w:hideMark/>
          </w:tcPr>
          <w:p w:rsidR="008D5AF9" w:rsidRPr="002F6BFC" w:rsidRDefault="008D5AF9" w:rsidP="008D5AF9">
            <w:pPr>
              <w:rPr>
                <w:sz w:val="24"/>
                <w:szCs w:val="24"/>
              </w:rPr>
            </w:pPr>
            <w:r w:rsidRPr="002F6BFC">
              <w:rPr>
                <w:sz w:val="24"/>
                <w:szCs w:val="24"/>
              </w:rPr>
              <w:t>Tbl. Valaciclovir 500</w:t>
            </w:r>
            <w:r>
              <w:rPr>
                <w:sz w:val="24"/>
                <w:szCs w:val="24"/>
              </w:rPr>
              <w:t>-1000</w:t>
            </w:r>
            <w:r w:rsidRPr="002F6BFC">
              <w:rPr>
                <w:sz w:val="24"/>
                <w:szCs w:val="24"/>
              </w:rPr>
              <w:t xml:space="preserve"> mg x 2 i 5-10 dage</w:t>
            </w:r>
          </w:p>
        </w:tc>
      </w:tr>
    </w:tbl>
    <w:p w:rsidR="008D5AF9" w:rsidRPr="009778C9" w:rsidRDefault="008D5AF9" w:rsidP="008D5AF9">
      <w:pPr>
        <w:pStyle w:val="Ingenafstand"/>
      </w:pPr>
      <w:r w:rsidRPr="009778C9">
        <w:t xml:space="preserve">NAT, nukleinsyre amplifikations teknik; </w:t>
      </w:r>
      <w:bookmarkStart w:id="16" w:name="_Hlk79487974"/>
      <w:r w:rsidRPr="009778C9">
        <w:t>PCR, polymerase chain reaction</w:t>
      </w:r>
      <w:bookmarkEnd w:id="16"/>
      <w:r w:rsidRPr="009778C9">
        <w:t>; SSI, Statens Serum Institut</w:t>
      </w:r>
    </w:p>
    <w:p w:rsidR="008D5AF9" w:rsidRPr="009778C9" w:rsidRDefault="008D5AF9" w:rsidP="008D5AF9">
      <w:pPr>
        <w:pStyle w:val="Ingenafstand"/>
      </w:pPr>
      <w:r w:rsidRPr="009778C9">
        <w:rPr>
          <w:rFonts w:cstheme="minorHAnsi"/>
        </w:rPr>
        <w:t xml:space="preserve">¹ Behandling efter resistensmønster </w:t>
      </w:r>
      <w:r>
        <w:rPr>
          <w:rFonts w:cstheme="minorHAnsi"/>
        </w:rPr>
        <w:t>(se tabel 4)</w:t>
      </w:r>
      <w:r w:rsidRPr="009778C9">
        <w:rPr>
          <w:rFonts w:cstheme="minorHAnsi"/>
        </w:rPr>
        <w:t>.</w:t>
      </w:r>
    </w:p>
    <w:p w:rsidR="008D5AF9" w:rsidRPr="002F6BFC" w:rsidRDefault="008D5AF9" w:rsidP="008D5AF9">
      <w:pPr>
        <w:pStyle w:val="Ingenafstand"/>
        <w:rPr>
          <w:sz w:val="24"/>
          <w:szCs w:val="24"/>
        </w:rPr>
      </w:pPr>
    </w:p>
    <w:p w:rsidR="008D5AF9" w:rsidRDefault="008D5AF9" w:rsidP="008D5AF9">
      <w:pPr>
        <w:rPr>
          <w:b/>
          <w:bCs/>
          <w:sz w:val="24"/>
          <w:szCs w:val="24"/>
        </w:rPr>
      </w:pPr>
    </w:p>
    <w:p w:rsidR="008D5AF9" w:rsidRPr="002F6BFC" w:rsidRDefault="008D5AF9" w:rsidP="008D5AF9">
      <w:pPr>
        <w:rPr>
          <w:b/>
          <w:bCs/>
          <w:sz w:val="24"/>
          <w:szCs w:val="24"/>
        </w:rPr>
      </w:pPr>
      <w:r w:rsidRPr="002F6BFC">
        <w:rPr>
          <w:b/>
          <w:bCs/>
          <w:sz w:val="24"/>
          <w:szCs w:val="24"/>
        </w:rPr>
        <w:t>Epidemiologi</w:t>
      </w:r>
    </w:p>
    <w:p w:rsidR="008D5AF9" w:rsidRPr="002F6BFC" w:rsidRDefault="008D5AF9" w:rsidP="008D5AF9">
      <w:pPr>
        <w:rPr>
          <w:sz w:val="24"/>
          <w:szCs w:val="24"/>
        </w:rPr>
      </w:pPr>
      <w:r w:rsidRPr="002F6BFC">
        <w:rPr>
          <w:sz w:val="24"/>
          <w:szCs w:val="24"/>
        </w:rPr>
        <w:t xml:space="preserve">Der foreligger ingen danske studier vedrørende forekomst af proktit blandt brugere af danske klinikker for kønssygdomme. I takt med den generelle stigning i antallet af SOI i Danmark over de sidste 20 år, er der også registreret en stigning i f.eks. rektal klamydia hos mænd fra 9 tilfælde i 2006 til 889 i 2018 </w:t>
      </w:r>
      <w:r>
        <w:rPr>
          <w:noProof/>
          <w:sz w:val="24"/>
          <w:szCs w:val="24"/>
        </w:rPr>
        <w:t>(41, 42)</w:t>
      </w:r>
      <w:r w:rsidRPr="002F6BFC">
        <w:rPr>
          <w:sz w:val="24"/>
          <w:szCs w:val="24"/>
        </w:rPr>
        <w:t>. Siden 2003 har man i flere europæiske storbyer og fra 2006/7 fra Danmark registreret et stigende antal rektale tilfælde af</w:t>
      </w:r>
      <w:r>
        <w:rPr>
          <w:sz w:val="24"/>
          <w:szCs w:val="24"/>
        </w:rPr>
        <w:t xml:space="preserve"> </w:t>
      </w:r>
      <w:r w:rsidRPr="002F6BFC">
        <w:rPr>
          <w:sz w:val="24"/>
          <w:szCs w:val="24"/>
        </w:rPr>
        <w:t xml:space="preserve">LGV blandt </w:t>
      </w:r>
      <w:r>
        <w:rPr>
          <w:sz w:val="24"/>
          <w:szCs w:val="24"/>
        </w:rPr>
        <w:t>MSM</w:t>
      </w:r>
      <w:r w:rsidRPr="002F6BFC">
        <w:rPr>
          <w:sz w:val="24"/>
          <w:szCs w:val="24"/>
        </w:rPr>
        <w:t>, således</w:t>
      </w:r>
      <w:r>
        <w:rPr>
          <w:sz w:val="24"/>
          <w:szCs w:val="24"/>
        </w:rPr>
        <w:t xml:space="preserve"> i Danmark</w:t>
      </w:r>
      <w:r w:rsidRPr="002F6BFC">
        <w:rPr>
          <w:sz w:val="24"/>
          <w:szCs w:val="24"/>
        </w:rPr>
        <w:t xml:space="preserve"> fra 4 tilfælde indtil oktober 2017 til 54 tilfælde med bekræftet rektal lokalisation i 2018, og herudover 2 yngre kvinder </w:t>
      </w:r>
      <w:r>
        <w:rPr>
          <w:noProof/>
          <w:sz w:val="24"/>
          <w:szCs w:val="24"/>
        </w:rPr>
        <w:t>(42, 43)</w:t>
      </w:r>
      <w:r w:rsidRPr="002F6BFC">
        <w:rPr>
          <w:sz w:val="24"/>
          <w:szCs w:val="24"/>
        </w:rPr>
        <w:t>. LGV er således yderst sjælden blandt heteroseksuelle i Vesten, og forekommer her langt overvejende hos MSM</w:t>
      </w:r>
      <w:r>
        <w:rPr>
          <w:sz w:val="24"/>
          <w:szCs w:val="24"/>
        </w:rPr>
        <w:t>,</w:t>
      </w:r>
      <w:r w:rsidRPr="002F6BFC">
        <w:rPr>
          <w:sz w:val="24"/>
          <w:szCs w:val="24"/>
        </w:rPr>
        <w:t xml:space="preserve"> især hos </w:t>
      </w:r>
      <w:r w:rsidR="00FB7303">
        <w:rPr>
          <w:sz w:val="24"/>
          <w:szCs w:val="24"/>
        </w:rPr>
        <w:t>HIV</w:t>
      </w:r>
      <w:r w:rsidRPr="002F6BFC">
        <w:rPr>
          <w:sz w:val="24"/>
          <w:szCs w:val="24"/>
        </w:rPr>
        <w:t xml:space="preserve">-inficerede MSM </w:t>
      </w:r>
      <w:r>
        <w:rPr>
          <w:noProof/>
          <w:sz w:val="24"/>
          <w:szCs w:val="24"/>
        </w:rPr>
        <w:t>(13)</w:t>
      </w:r>
      <w:r w:rsidRPr="002F6BFC">
        <w:rPr>
          <w:sz w:val="24"/>
          <w:szCs w:val="24"/>
        </w:rPr>
        <w:t>. Ratioen af genital</w:t>
      </w:r>
      <w:r>
        <w:rPr>
          <w:sz w:val="24"/>
          <w:szCs w:val="24"/>
        </w:rPr>
        <w:t>e</w:t>
      </w:r>
      <w:r w:rsidRPr="002F6BFC">
        <w:rPr>
          <w:sz w:val="24"/>
          <w:szCs w:val="24"/>
        </w:rPr>
        <w:t xml:space="preserve"> vs. anorektal</w:t>
      </w:r>
      <w:r>
        <w:rPr>
          <w:sz w:val="24"/>
          <w:szCs w:val="24"/>
        </w:rPr>
        <w:t>e</w:t>
      </w:r>
      <w:r w:rsidRPr="002F6BFC">
        <w:rPr>
          <w:sz w:val="24"/>
          <w:szCs w:val="24"/>
        </w:rPr>
        <w:t xml:space="preserve"> LGV</w:t>
      </w:r>
      <w:r w:rsidR="00517214">
        <w:rPr>
          <w:sz w:val="24"/>
          <w:szCs w:val="24"/>
        </w:rPr>
        <w:t>-</w:t>
      </w:r>
      <w:r w:rsidRPr="002F6BFC">
        <w:rPr>
          <w:sz w:val="24"/>
          <w:szCs w:val="24"/>
        </w:rPr>
        <w:t>infektioner blandt MSM er</w:t>
      </w:r>
      <w:r>
        <w:rPr>
          <w:sz w:val="24"/>
          <w:szCs w:val="24"/>
        </w:rPr>
        <w:t xml:space="preserve"> omkring</w:t>
      </w:r>
      <w:r w:rsidRPr="002F6BFC">
        <w:rPr>
          <w:sz w:val="24"/>
          <w:szCs w:val="24"/>
        </w:rPr>
        <w:t xml:space="preserve"> 1:15</w:t>
      </w:r>
      <w:r>
        <w:rPr>
          <w:sz w:val="24"/>
          <w:szCs w:val="24"/>
        </w:rPr>
        <w:t xml:space="preserve">, </w:t>
      </w:r>
      <w:r>
        <w:rPr>
          <w:noProof/>
          <w:sz w:val="24"/>
          <w:szCs w:val="24"/>
        </w:rPr>
        <w:t>(13)</w:t>
      </w:r>
      <w:r w:rsidRPr="002F6BFC">
        <w:rPr>
          <w:sz w:val="24"/>
          <w:szCs w:val="24"/>
        </w:rPr>
        <w:t xml:space="preserve">. Der har også været stigning i andelen af </w:t>
      </w:r>
      <w:r>
        <w:rPr>
          <w:sz w:val="24"/>
          <w:szCs w:val="24"/>
        </w:rPr>
        <w:t xml:space="preserve">dyrknings verificeret </w:t>
      </w:r>
      <w:r w:rsidRPr="002F6BFC">
        <w:rPr>
          <w:sz w:val="24"/>
          <w:szCs w:val="24"/>
        </w:rPr>
        <w:t>rektal gonorré i Danmark fra</w:t>
      </w:r>
      <w:r>
        <w:rPr>
          <w:sz w:val="24"/>
          <w:szCs w:val="24"/>
        </w:rPr>
        <w:t xml:space="preserve"> 14 og 2 tilfælde hos henholdsvis mænd og kvinder i 2003 til 113 og 43 tilfælde i 2019 (personlig oplysning SSI).</w:t>
      </w:r>
    </w:p>
    <w:p w:rsidR="008D5AF9" w:rsidRPr="002F6BFC" w:rsidRDefault="008D5AF9" w:rsidP="008D5AF9">
      <w:pPr>
        <w:rPr>
          <w:b/>
          <w:bCs/>
          <w:sz w:val="24"/>
          <w:szCs w:val="24"/>
        </w:rPr>
      </w:pPr>
      <w:r w:rsidRPr="002F6BFC">
        <w:rPr>
          <w:b/>
          <w:bCs/>
          <w:sz w:val="24"/>
          <w:szCs w:val="24"/>
        </w:rPr>
        <w:t>Risikofaktorer:</w:t>
      </w:r>
    </w:p>
    <w:p w:rsidR="008D5AF9" w:rsidRPr="002F6BFC" w:rsidRDefault="008D5AF9" w:rsidP="008D5AF9">
      <w:pPr>
        <w:pStyle w:val="Listeafsnit"/>
        <w:rPr>
          <w:sz w:val="24"/>
          <w:szCs w:val="24"/>
        </w:rPr>
      </w:pPr>
      <w:r w:rsidRPr="002F6BFC">
        <w:rPr>
          <w:sz w:val="24"/>
          <w:szCs w:val="24"/>
        </w:rPr>
        <w:t>Receptivt analt samleje uden kondom indenfor det sidste halve år</w:t>
      </w:r>
    </w:p>
    <w:p w:rsidR="008D5AF9" w:rsidRPr="002F6BFC" w:rsidRDefault="008D5AF9" w:rsidP="008D5AF9">
      <w:pPr>
        <w:pStyle w:val="Listeafsnit"/>
        <w:rPr>
          <w:sz w:val="24"/>
          <w:szCs w:val="24"/>
        </w:rPr>
      </w:pPr>
      <w:r w:rsidRPr="002F6BFC">
        <w:rPr>
          <w:sz w:val="24"/>
          <w:szCs w:val="24"/>
        </w:rPr>
        <w:t>Andre SOI det sidste halve år</w:t>
      </w:r>
    </w:p>
    <w:p w:rsidR="008D5AF9" w:rsidRPr="002F6BFC" w:rsidRDefault="008D5AF9" w:rsidP="008D5AF9">
      <w:pPr>
        <w:pStyle w:val="Listeafsnit"/>
        <w:rPr>
          <w:sz w:val="24"/>
          <w:szCs w:val="24"/>
        </w:rPr>
      </w:pPr>
      <w:r w:rsidRPr="002F6BFC">
        <w:rPr>
          <w:sz w:val="24"/>
          <w:szCs w:val="24"/>
        </w:rPr>
        <w:t>HIV seropositivitet</w:t>
      </w:r>
    </w:p>
    <w:p w:rsidR="008D5AF9" w:rsidRPr="002F6BFC" w:rsidRDefault="008D5AF9" w:rsidP="008D5AF9">
      <w:pPr>
        <w:pStyle w:val="Listeafsnit"/>
        <w:rPr>
          <w:sz w:val="24"/>
          <w:szCs w:val="24"/>
        </w:rPr>
      </w:pPr>
      <w:r w:rsidRPr="002F6BFC">
        <w:rPr>
          <w:sz w:val="24"/>
          <w:szCs w:val="24"/>
        </w:rPr>
        <w:t>Multiple seksualpartnere</w:t>
      </w:r>
    </w:p>
    <w:p w:rsidR="008D5AF9" w:rsidRPr="002F6BFC" w:rsidRDefault="008D5AF9" w:rsidP="008D5AF9">
      <w:pPr>
        <w:pStyle w:val="Listeafsnit"/>
        <w:rPr>
          <w:sz w:val="24"/>
          <w:szCs w:val="24"/>
        </w:rPr>
      </w:pPr>
      <w:r w:rsidRPr="002F6BFC">
        <w:rPr>
          <w:sz w:val="24"/>
          <w:szCs w:val="24"/>
        </w:rPr>
        <w:t xml:space="preserve">Deling af sex legetøj </w:t>
      </w:r>
      <w:r>
        <w:rPr>
          <w:noProof/>
          <w:sz w:val="24"/>
          <w:szCs w:val="24"/>
        </w:rPr>
        <w:t>(44)</w:t>
      </w:r>
    </w:p>
    <w:p w:rsidR="008D5AF9" w:rsidRPr="002F6BFC" w:rsidRDefault="008D5AF9" w:rsidP="008D5AF9">
      <w:pPr>
        <w:rPr>
          <w:b/>
          <w:bCs/>
          <w:sz w:val="24"/>
          <w:szCs w:val="24"/>
        </w:rPr>
      </w:pPr>
      <w:r w:rsidRPr="002F6BFC">
        <w:rPr>
          <w:b/>
          <w:bCs/>
          <w:sz w:val="24"/>
          <w:szCs w:val="24"/>
        </w:rPr>
        <w:t>Symptomer:</w:t>
      </w:r>
    </w:p>
    <w:p w:rsidR="008D5AF9" w:rsidRPr="002F6BFC" w:rsidRDefault="008D5AF9" w:rsidP="008D5AF9">
      <w:pPr>
        <w:rPr>
          <w:sz w:val="24"/>
          <w:szCs w:val="24"/>
        </w:rPr>
      </w:pPr>
      <w:r w:rsidRPr="002F6BFC">
        <w:rPr>
          <w:sz w:val="24"/>
          <w:szCs w:val="24"/>
        </w:rPr>
        <w:t xml:space="preserve">Infektion med </w:t>
      </w:r>
      <w:r w:rsidRPr="002F6BFC">
        <w:rPr>
          <w:i/>
          <w:iCs/>
          <w:sz w:val="24"/>
          <w:szCs w:val="24"/>
        </w:rPr>
        <w:t xml:space="preserve">C. trachomatis </w:t>
      </w:r>
      <w:r w:rsidRPr="002F6BFC">
        <w:rPr>
          <w:sz w:val="24"/>
          <w:szCs w:val="24"/>
        </w:rPr>
        <w:t>(de genovar der giver anogenital klamydia; D-K)</w:t>
      </w:r>
      <w:r w:rsidRPr="002F6BFC">
        <w:rPr>
          <w:i/>
          <w:iCs/>
          <w:sz w:val="24"/>
          <w:szCs w:val="24"/>
        </w:rPr>
        <w:t xml:space="preserve"> </w:t>
      </w:r>
      <w:r w:rsidRPr="002F6BFC">
        <w:rPr>
          <w:sz w:val="24"/>
          <w:szCs w:val="24"/>
        </w:rPr>
        <w:t xml:space="preserve">samt </w:t>
      </w:r>
      <w:r w:rsidRPr="002F6BFC">
        <w:rPr>
          <w:i/>
          <w:iCs/>
          <w:sz w:val="24"/>
          <w:szCs w:val="24"/>
        </w:rPr>
        <w:t>N. gonorrhoeae</w:t>
      </w:r>
      <w:r w:rsidRPr="002F6BFC">
        <w:rPr>
          <w:sz w:val="24"/>
          <w:szCs w:val="24"/>
        </w:rPr>
        <w:t xml:space="preserve"> er oftest uden symptomer fra rektum, mens infektion med </w:t>
      </w:r>
      <w:r w:rsidRPr="002F6BFC">
        <w:rPr>
          <w:i/>
          <w:iCs/>
          <w:sz w:val="24"/>
          <w:szCs w:val="24"/>
        </w:rPr>
        <w:t xml:space="preserve">C. trachomatis </w:t>
      </w:r>
      <w:r w:rsidRPr="002F6BFC">
        <w:rPr>
          <w:sz w:val="24"/>
          <w:szCs w:val="24"/>
        </w:rPr>
        <w:t>genovar L 1-3 (lymfogranuloma venereum) i højere grad er symptomgivende</w:t>
      </w:r>
      <w:r w:rsidR="00FB7303">
        <w:rPr>
          <w:sz w:val="24"/>
          <w:szCs w:val="24"/>
        </w:rPr>
        <w:t>.</w:t>
      </w:r>
    </w:p>
    <w:p w:rsidR="008D5AF9" w:rsidRPr="002F6BFC" w:rsidRDefault="008D5AF9" w:rsidP="008D5AF9">
      <w:pPr>
        <w:pStyle w:val="Listeafsnit"/>
        <w:rPr>
          <w:sz w:val="24"/>
          <w:szCs w:val="24"/>
        </w:rPr>
      </w:pPr>
      <w:r w:rsidRPr="002F6BFC">
        <w:rPr>
          <w:sz w:val="24"/>
          <w:szCs w:val="24"/>
        </w:rPr>
        <w:t>Udflåd pr. rektum, klart til hæmopurulent</w:t>
      </w:r>
    </w:p>
    <w:p w:rsidR="008D5AF9" w:rsidRPr="002F6BFC" w:rsidRDefault="008D5AF9" w:rsidP="008D5AF9">
      <w:pPr>
        <w:pStyle w:val="Listeafsnit"/>
        <w:rPr>
          <w:sz w:val="24"/>
          <w:szCs w:val="24"/>
        </w:rPr>
      </w:pPr>
      <w:r w:rsidRPr="002F6BFC">
        <w:rPr>
          <w:sz w:val="24"/>
          <w:szCs w:val="24"/>
        </w:rPr>
        <w:t>Blodig afføring</w:t>
      </w:r>
    </w:p>
    <w:p w:rsidR="008D5AF9" w:rsidRPr="002F6BFC" w:rsidRDefault="008D5AF9" w:rsidP="008D5AF9">
      <w:pPr>
        <w:pStyle w:val="Listeafsnit"/>
        <w:rPr>
          <w:sz w:val="24"/>
          <w:szCs w:val="24"/>
        </w:rPr>
      </w:pPr>
      <w:r w:rsidRPr="002F6BFC">
        <w:rPr>
          <w:sz w:val="24"/>
          <w:szCs w:val="24"/>
        </w:rPr>
        <w:t>Smerter, herunder defækationssmerter og tenesmus (smertefuld trang til afføring)</w:t>
      </w:r>
    </w:p>
    <w:p w:rsidR="008D5AF9" w:rsidRDefault="008D5AF9" w:rsidP="008D5AF9">
      <w:pPr>
        <w:pStyle w:val="Listeafsnit"/>
        <w:rPr>
          <w:sz w:val="24"/>
          <w:szCs w:val="24"/>
        </w:rPr>
      </w:pPr>
      <w:r w:rsidRPr="002F6BFC">
        <w:rPr>
          <w:sz w:val="24"/>
          <w:szCs w:val="24"/>
        </w:rPr>
        <w:t xml:space="preserve">Evt. feber </w:t>
      </w:r>
      <w:r>
        <w:rPr>
          <w:noProof/>
          <w:sz w:val="24"/>
          <w:szCs w:val="24"/>
        </w:rPr>
        <w:t>(44)</w:t>
      </w:r>
    </w:p>
    <w:p w:rsidR="008D5AF9" w:rsidRPr="00821CF0" w:rsidRDefault="008D5AF9" w:rsidP="008D5AF9">
      <w:pPr>
        <w:rPr>
          <w:sz w:val="24"/>
          <w:szCs w:val="24"/>
        </w:rPr>
      </w:pPr>
      <w:r w:rsidRPr="002F6BFC">
        <w:rPr>
          <w:rFonts w:cstheme="minorHAnsi"/>
          <w:sz w:val="24"/>
          <w:szCs w:val="24"/>
        </w:rPr>
        <w:t xml:space="preserve">Flere studier har ikke fundet association mellem </w:t>
      </w:r>
      <w:r w:rsidRPr="002F6BFC">
        <w:rPr>
          <w:rFonts w:cstheme="minorHAnsi"/>
          <w:i/>
          <w:iCs/>
          <w:sz w:val="24"/>
          <w:szCs w:val="24"/>
        </w:rPr>
        <w:t xml:space="preserve">M. genitalium </w:t>
      </w:r>
      <w:r w:rsidRPr="002F6BFC">
        <w:rPr>
          <w:rFonts w:cstheme="minorHAnsi"/>
          <w:sz w:val="24"/>
          <w:szCs w:val="24"/>
        </w:rPr>
        <w:t>og proktit, selv</w:t>
      </w:r>
      <w:r>
        <w:rPr>
          <w:rFonts w:cstheme="minorHAnsi"/>
          <w:sz w:val="24"/>
          <w:szCs w:val="24"/>
        </w:rPr>
        <w:t xml:space="preserve"> om</w:t>
      </w:r>
      <w:r w:rsidRPr="002F6BFC">
        <w:rPr>
          <w:rFonts w:cstheme="minorHAnsi"/>
          <w:sz w:val="24"/>
          <w:szCs w:val="24"/>
        </w:rPr>
        <w:t xml:space="preserve"> der er </w:t>
      </w:r>
      <w:r>
        <w:rPr>
          <w:rFonts w:cstheme="minorHAnsi"/>
          <w:sz w:val="24"/>
          <w:szCs w:val="24"/>
        </w:rPr>
        <w:t>rapporteret enkelte</w:t>
      </w:r>
      <w:r w:rsidRPr="002F6BFC">
        <w:rPr>
          <w:rFonts w:cstheme="minorHAnsi"/>
          <w:sz w:val="24"/>
          <w:szCs w:val="24"/>
        </w:rPr>
        <w:t xml:space="preserve"> cases med proktit</w:t>
      </w:r>
      <w:r>
        <w:rPr>
          <w:rFonts w:cstheme="minorHAnsi"/>
          <w:sz w:val="24"/>
          <w:szCs w:val="24"/>
        </w:rPr>
        <w:t xml:space="preserve"> </w:t>
      </w:r>
      <w:r>
        <w:rPr>
          <w:rFonts w:cstheme="minorHAnsi"/>
          <w:noProof/>
          <w:sz w:val="24"/>
          <w:szCs w:val="24"/>
        </w:rPr>
        <w:t>(44)</w:t>
      </w:r>
      <w:r w:rsidRPr="002F6BFC">
        <w:rPr>
          <w:rFonts w:cstheme="minorHAnsi"/>
          <w:sz w:val="24"/>
          <w:szCs w:val="24"/>
        </w:rPr>
        <w:t>.</w:t>
      </w:r>
    </w:p>
    <w:p w:rsidR="008D5AF9" w:rsidRPr="002F6BFC" w:rsidRDefault="008D5AF9" w:rsidP="008D5AF9">
      <w:pPr>
        <w:rPr>
          <w:b/>
          <w:bCs/>
          <w:sz w:val="24"/>
          <w:szCs w:val="24"/>
        </w:rPr>
      </w:pPr>
      <w:r w:rsidRPr="002F6BFC">
        <w:rPr>
          <w:b/>
          <w:bCs/>
          <w:sz w:val="24"/>
          <w:szCs w:val="24"/>
        </w:rPr>
        <w:t>Kliniske fund:</w:t>
      </w:r>
    </w:p>
    <w:p w:rsidR="008D5AF9" w:rsidRPr="002F6BFC" w:rsidRDefault="008D5AF9" w:rsidP="008D5AF9">
      <w:pPr>
        <w:rPr>
          <w:sz w:val="24"/>
          <w:szCs w:val="24"/>
        </w:rPr>
      </w:pPr>
      <w:r w:rsidRPr="002F6BFC">
        <w:rPr>
          <w:sz w:val="24"/>
          <w:szCs w:val="24"/>
        </w:rPr>
        <w:t>Anoskopi/proktoskopi bør foretages, ved ovennævnte symptomer, såfremt patienten kan gennemføre undersøgelsen</w:t>
      </w:r>
    </w:p>
    <w:p w:rsidR="008D5AF9" w:rsidRPr="002F6BFC" w:rsidRDefault="008D5AF9" w:rsidP="008D5AF9">
      <w:pPr>
        <w:pStyle w:val="Listeafsnit"/>
        <w:rPr>
          <w:sz w:val="24"/>
          <w:szCs w:val="24"/>
        </w:rPr>
      </w:pPr>
      <w:r w:rsidRPr="002F6BFC">
        <w:rPr>
          <w:sz w:val="24"/>
          <w:szCs w:val="24"/>
        </w:rPr>
        <w:t>Mukøst til hæmopurulent sekret i lumen</w:t>
      </w:r>
    </w:p>
    <w:p w:rsidR="008D5AF9" w:rsidRPr="002F6BFC" w:rsidRDefault="008D5AF9" w:rsidP="008D5AF9">
      <w:pPr>
        <w:pStyle w:val="Listeafsnit"/>
        <w:rPr>
          <w:sz w:val="24"/>
          <w:szCs w:val="24"/>
        </w:rPr>
      </w:pPr>
      <w:r w:rsidRPr="002F6BFC">
        <w:rPr>
          <w:sz w:val="24"/>
          <w:szCs w:val="24"/>
        </w:rPr>
        <w:t>Ødem af slimhinden i rektum/analkanalen</w:t>
      </w:r>
    </w:p>
    <w:p w:rsidR="008D5AF9" w:rsidRPr="002F6BFC" w:rsidRDefault="008D5AF9" w:rsidP="008D5AF9">
      <w:pPr>
        <w:pStyle w:val="Listeafsnit"/>
        <w:rPr>
          <w:sz w:val="24"/>
          <w:szCs w:val="24"/>
        </w:rPr>
      </w:pPr>
      <w:r w:rsidRPr="002F6BFC">
        <w:rPr>
          <w:sz w:val="24"/>
          <w:szCs w:val="24"/>
        </w:rPr>
        <w:t>Kontaktblødning</w:t>
      </w:r>
    </w:p>
    <w:p w:rsidR="008D5AF9" w:rsidRPr="002F6BFC" w:rsidRDefault="008D5AF9" w:rsidP="008D5AF9">
      <w:pPr>
        <w:pStyle w:val="Listeafsnit"/>
        <w:rPr>
          <w:sz w:val="24"/>
          <w:szCs w:val="24"/>
        </w:rPr>
      </w:pPr>
      <w:r w:rsidRPr="002F6BFC">
        <w:rPr>
          <w:sz w:val="24"/>
          <w:szCs w:val="24"/>
        </w:rPr>
        <w:t>Ulcerationer</w:t>
      </w:r>
    </w:p>
    <w:p w:rsidR="008D5AF9" w:rsidRPr="002F6BFC" w:rsidRDefault="008D5AF9" w:rsidP="008D5AF9">
      <w:pPr>
        <w:pStyle w:val="Listeafsnit"/>
        <w:rPr>
          <w:sz w:val="24"/>
          <w:szCs w:val="24"/>
        </w:rPr>
      </w:pPr>
      <w:r w:rsidRPr="002F6BFC">
        <w:rPr>
          <w:sz w:val="24"/>
          <w:szCs w:val="24"/>
        </w:rPr>
        <w:t>Evt. vesikler i perianalområdet (ved herpes simplex infektion)</w:t>
      </w:r>
    </w:p>
    <w:p w:rsidR="008D5AF9" w:rsidRPr="002F6BFC" w:rsidRDefault="008D5AF9" w:rsidP="008D5AF9">
      <w:pPr>
        <w:rPr>
          <w:sz w:val="24"/>
          <w:szCs w:val="24"/>
        </w:rPr>
      </w:pPr>
      <w:r w:rsidRPr="002F6BFC">
        <w:rPr>
          <w:sz w:val="24"/>
          <w:szCs w:val="24"/>
        </w:rPr>
        <w:t>Ved ulcerationer i rektum/analkanal/perianalområdet må man overveje herpes genitalis, LGV eller syfilis</w:t>
      </w:r>
      <w:r>
        <w:rPr>
          <w:sz w:val="24"/>
          <w:szCs w:val="24"/>
        </w:rPr>
        <w:t xml:space="preserve"> </w:t>
      </w:r>
      <w:r>
        <w:rPr>
          <w:noProof/>
          <w:sz w:val="24"/>
          <w:szCs w:val="24"/>
        </w:rPr>
        <w:t>(44)</w:t>
      </w:r>
      <w:r w:rsidRPr="002F6BFC">
        <w:rPr>
          <w:sz w:val="24"/>
          <w:szCs w:val="24"/>
        </w:rPr>
        <w:t>. Hos immunsvækkede patienter med anorektale ulcerationer, hvor undersøgelse for de nævnte infektioner er negative må man overveje undersøgelse for cytomegalovirus, der kan reaktivere under immunsuppression</w:t>
      </w:r>
    </w:p>
    <w:p w:rsidR="008D5AF9" w:rsidRDefault="008D5AF9" w:rsidP="008D5AF9">
      <w:pPr>
        <w:rPr>
          <w:sz w:val="24"/>
          <w:szCs w:val="24"/>
        </w:rPr>
      </w:pPr>
      <w:r w:rsidRPr="002F6BFC">
        <w:rPr>
          <w:sz w:val="24"/>
          <w:szCs w:val="24"/>
        </w:rPr>
        <w:t xml:space="preserve">Lymfogranuloma venereum kan klinisk og histologisk være svær at adskille fra inflammatorisk tarm sygdom og skal altid mistænkes hos MSM, især </w:t>
      </w:r>
      <w:r w:rsidR="00FB7303">
        <w:rPr>
          <w:sz w:val="24"/>
          <w:szCs w:val="24"/>
        </w:rPr>
        <w:t>HIV</w:t>
      </w:r>
      <w:r w:rsidRPr="002F6BFC">
        <w:rPr>
          <w:sz w:val="24"/>
          <w:szCs w:val="24"/>
        </w:rPr>
        <w:t>-inficerede MSM</w:t>
      </w:r>
    </w:p>
    <w:p w:rsidR="008D5AF9" w:rsidRPr="008D5AF9" w:rsidRDefault="008D5AF9" w:rsidP="008D5AF9">
      <w:pPr>
        <w:rPr>
          <w:b/>
          <w:bCs/>
          <w:sz w:val="24"/>
          <w:szCs w:val="24"/>
        </w:rPr>
      </w:pPr>
      <w:r w:rsidRPr="008D5AF9">
        <w:rPr>
          <w:b/>
          <w:bCs/>
          <w:sz w:val="24"/>
          <w:szCs w:val="24"/>
        </w:rPr>
        <w:t>Diagnostik og behandling</w:t>
      </w:r>
    </w:p>
    <w:p w:rsidR="008D5AF9" w:rsidRDefault="008D5AF9" w:rsidP="008D5AF9">
      <w:pPr>
        <w:rPr>
          <w:sz w:val="24"/>
          <w:szCs w:val="24"/>
        </w:rPr>
      </w:pPr>
      <w:r>
        <w:rPr>
          <w:sz w:val="24"/>
          <w:szCs w:val="24"/>
        </w:rPr>
        <w:t>Se tabel 9</w:t>
      </w:r>
    </w:p>
    <w:p w:rsidR="008D5AF9" w:rsidRDefault="008D5AF9" w:rsidP="008D5AF9">
      <w:pPr>
        <w:rPr>
          <w:i/>
          <w:iCs/>
          <w:sz w:val="24"/>
          <w:szCs w:val="24"/>
        </w:rPr>
      </w:pPr>
      <w:r>
        <w:rPr>
          <w:sz w:val="24"/>
          <w:szCs w:val="24"/>
        </w:rPr>
        <w:t xml:space="preserve">Det anbefales kun at teste for </w:t>
      </w:r>
      <w:r>
        <w:rPr>
          <w:i/>
          <w:iCs/>
          <w:sz w:val="24"/>
          <w:szCs w:val="24"/>
        </w:rPr>
        <w:t xml:space="preserve">M. genitalium </w:t>
      </w:r>
      <w:r>
        <w:rPr>
          <w:sz w:val="24"/>
          <w:szCs w:val="24"/>
        </w:rPr>
        <w:t>ved proktit</w:t>
      </w:r>
      <w:r>
        <w:rPr>
          <w:i/>
          <w:iCs/>
          <w:sz w:val="24"/>
          <w:szCs w:val="24"/>
        </w:rPr>
        <w:t>,</w:t>
      </w:r>
      <w:r>
        <w:rPr>
          <w:sz w:val="24"/>
          <w:szCs w:val="24"/>
        </w:rPr>
        <w:t xml:space="preserve"> såfremt der er negativ undersøgelse for </w:t>
      </w:r>
      <w:r>
        <w:rPr>
          <w:i/>
          <w:iCs/>
          <w:sz w:val="24"/>
          <w:szCs w:val="24"/>
        </w:rPr>
        <w:t>N. gonorrhoeae</w:t>
      </w:r>
      <w:r>
        <w:rPr>
          <w:sz w:val="24"/>
          <w:szCs w:val="24"/>
        </w:rPr>
        <w:t xml:space="preserve"> og </w:t>
      </w:r>
      <w:r>
        <w:rPr>
          <w:i/>
          <w:iCs/>
          <w:sz w:val="24"/>
          <w:szCs w:val="24"/>
        </w:rPr>
        <w:t>C. trachomatis.</w:t>
      </w:r>
    </w:p>
    <w:p w:rsidR="008D5AF9" w:rsidRPr="00C447D9" w:rsidRDefault="008D5AF9" w:rsidP="008D5AF9">
      <w:pPr>
        <w:rPr>
          <w:sz w:val="24"/>
          <w:szCs w:val="24"/>
        </w:rPr>
      </w:pPr>
      <w:r>
        <w:rPr>
          <w:sz w:val="24"/>
          <w:szCs w:val="24"/>
        </w:rPr>
        <w:t xml:space="preserve">Intestinal spirokætose kan ses som tilfældigt fund ved colon/rektum biopsier specielt hos MSM og </w:t>
      </w:r>
      <w:r w:rsidR="00FB7303">
        <w:rPr>
          <w:sz w:val="24"/>
          <w:szCs w:val="24"/>
        </w:rPr>
        <w:t>HIV</w:t>
      </w:r>
      <w:r>
        <w:rPr>
          <w:sz w:val="24"/>
          <w:szCs w:val="24"/>
        </w:rPr>
        <w:t xml:space="preserve">-inficerede personer, og patienterne henvises ofte til udredning for syfilis. Imidlertid skyldes tilstanden spirokæterne </w:t>
      </w:r>
      <w:r w:rsidRPr="00C447D9">
        <w:rPr>
          <w:sz w:val="24"/>
          <w:szCs w:val="24"/>
        </w:rPr>
        <w:t xml:space="preserve"> </w:t>
      </w:r>
      <w:r w:rsidRPr="00C447D9">
        <w:rPr>
          <w:i/>
          <w:iCs/>
          <w:sz w:val="24"/>
          <w:szCs w:val="24"/>
        </w:rPr>
        <w:t xml:space="preserve">Brachyspira aalborgi </w:t>
      </w:r>
      <w:r>
        <w:rPr>
          <w:sz w:val="24"/>
          <w:szCs w:val="24"/>
        </w:rPr>
        <w:t xml:space="preserve">og </w:t>
      </w:r>
      <w:r w:rsidRPr="00C447D9">
        <w:rPr>
          <w:i/>
          <w:iCs/>
          <w:sz w:val="24"/>
          <w:szCs w:val="24"/>
        </w:rPr>
        <w:t>Brachyspira pilosicoli</w:t>
      </w:r>
      <w:r w:rsidRPr="00C447D9">
        <w:rPr>
          <w:sz w:val="24"/>
          <w:szCs w:val="24"/>
        </w:rPr>
        <w:t xml:space="preserve">.  </w:t>
      </w:r>
      <w:r>
        <w:rPr>
          <w:sz w:val="24"/>
          <w:szCs w:val="24"/>
        </w:rPr>
        <w:t xml:space="preserve">Det debateres om kolonisering af disse spirokæter er associeret med gastro-intestinale symptomer som kronisk diarré. Behandling kan i sådanne tilfælde forsøges med tbl. metronidazol 500 mg x 2 i 14 dage </w:t>
      </w:r>
      <w:r>
        <w:rPr>
          <w:noProof/>
          <w:sz w:val="24"/>
          <w:szCs w:val="24"/>
        </w:rPr>
        <w:t>(44)</w:t>
      </w:r>
      <w:r>
        <w:rPr>
          <w:sz w:val="24"/>
          <w:szCs w:val="24"/>
        </w:rPr>
        <w:t>.</w:t>
      </w:r>
    </w:p>
    <w:p w:rsidR="008D5AF9" w:rsidRPr="00821CF0" w:rsidRDefault="008D5AF9" w:rsidP="008D5AF9">
      <w:pPr>
        <w:rPr>
          <w:sz w:val="24"/>
          <w:szCs w:val="24"/>
        </w:rPr>
      </w:pPr>
    </w:p>
    <w:p w:rsidR="008D5AF9" w:rsidRPr="005B1D59" w:rsidRDefault="008D5AF9" w:rsidP="008D5AF9">
      <w:pPr>
        <w:pStyle w:val="Overskrift2"/>
        <w:rPr>
          <w:rFonts w:asciiTheme="minorHAnsi" w:hAnsiTheme="minorHAnsi" w:cstheme="minorHAnsi"/>
          <w:sz w:val="28"/>
          <w:szCs w:val="28"/>
        </w:rPr>
      </w:pPr>
      <w:bookmarkStart w:id="17" w:name="_Toc86222547"/>
      <w:r w:rsidRPr="005B1D59">
        <w:rPr>
          <w:rFonts w:asciiTheme="minorHAnsi" w:hAnsiTheme="minorHAnsi" w:cstheme="minorHAnsi"/>
          <w:sz w:val="28"/>
          <w:szCs w:val="28"/>
        </w:rPr>
        <w:t>Kondylomer</w:t>
      </w:r>
      <w:bookmarkEnd w:id="17"/>
    </w:p>
    <w:p w:rsidR="008D5AF9" w:rsidRDefault="008D5AF9" w:rsidP="008D5AF9">
      <w:pPr>
        <w:rPr>
          <w:sz w:val="24"/>
          <w:szCs w:val="24"/>
        </w:rPr>
      </w:pPr>
    </w:p>
    <w:p w:rsidR="008D5AF9" w:rsidRPr="00EB3D44" w:rsidRDefault="008D5AF9" w:rsidP="008D5AF9">
      <w:pPr>
        <w:rPr>
          <w:b/>
          <w:bCs/>
          <w:sz w:val="24"/>
          <w:szCs w:val="24"/>
        </w:rPr>
      </w:pPr>
      <w:r>
        <w:rPr>
          <w:b/>
          <w:bCs/>
          <w:sz w:val="24"/>
          <w:szCs w:val="24"/>
        </w:rPr>
        <w:t>Baggrund og e</w:t>
      </w:r>
      <w:r w:rsidRPr="00EB3D44">
        <w:rPr>
          <w:b/>
          <w:bCs/>
          <w:sz w:val="24"/>
          <w:szCs w:val="24"/>
        </w:rPr>
        <w:t>pidemiologi</w:t>
      </w:r>
    </w:p>
    <w:p w:rsidR="008D5AF9" w:rsidRPr="00EB3D44" w:rsidRDefault="008D5AF9" w:rsidP="008D5AF9">
      <w:pPr>
        <w:rPr>
          <w:sz w:val="24"/>
          <w:szCs w:val="24"/>
        </w:rPr>
      </w:pPr>
      <w:r w:rsidRPr="00EB3D44">
        <w:rPr>
          <w:sz w:val="24"/>
          <w:szCs w:val="24"/>
        </w:rPr>
        <w:t>Kondylomer opstår som følge af human papillomavirus (HPV)-infektion med ikke-onkogene HPV-typer, oftest type 6 og 11 (&gt;90%). Før HPV-vaccination blev tilgængelig var livstidsrisikoen for HPV-infektion ca.</w:t>
      </w:r>
      <w:r>
        <w:rPr>
          <w:sz w:val="24"/>
          <w:szCs w:val="24"/>
        </w:rPr>
        <w:t xml:space="preserve"> </w:t>
      </w:r>
      <w:r w:rsidRPr="00EB3D44">
        <w:rPr>
          <w:sz w:val="24"/>
          <w:szCs w:val="24"/>
        </w:rPr>
        <w:t>80%, mens 10% og 8% af h</w:t>
      </w:r>
      <w:r>
        <w:rPr>
          <w:sz w:val="24"/>
          <w:szCs w:val="24"/>
        </w:rPr>
        <w:t>enholdsvis</w:t>
      </w:r>
      <w:r w:rsidRPr="00EB3D44">
        <w:rPr>
          <w:sz w:val="24"/>
          <w:szCs w:val="24"/>
        </w:rPr>
        <w:t xml:space="preserve"> kvinder og mænd i Danmark oplevede at få kondylomer indtil 45-års alderen</w:t>
      </w:r>
      <w:r>
        <w:rPr>
          <w:sz w:val="24"/>
          <w:szCs w:val="24"/>
        </w:rPr>
        <w:t xml:space="preserve"> </w:t>
      </w:r>
      <w:r>
        <w:rPr>
          <w:noProof/>
          <w:sz w:val="24"/>
          <w:szCs w:val="24"/>
        </w:rPr>
        <w:t>(45, 46)</w:t>
      </w:r>
      <w:r w:rsidRPr="00EB3D44">
        <w:rPr>
          <w:sz w:val="24"/>
          <w:szCs w:val="24"/>
        </w:rPr>
        <w:t>.  Siden er både prævalensen af infektion med vaccine HPV-typer og incidensen af kondylomer faldet markant i de vaccinerede årgange</w:t>
      </w:r>
      <w:r>
        <w:rPr>
          <w:sz w:val="24"/>
          <w:szCs w:val="24"/>
        </w:rPr>
        <w:t xml:space="preserve"> </w:t>
      </w:r>
      <w:r>
        <w:rPr>
          <w:noProof/>
          <w:sz w:val="24"/>
          <w:szCs w:val="24"/>
        </w:rPr>
        <w:t>(47, 48)</w:t>
      </w:r>
      <w:r w:rsidRPr="00EB3D44">
        <w:rPr>
          <w:sz w:val="24"/>
          <w:szCs w:val="24"/>
        </w:rPr>
        <w:t xml:space="preserve">. </w:t>
      </w:r>
    </w:p>
    <w:p w:rsidR="008D5AF9" w:rsidRPr="00EB3D44" w:rsidRDefault="008D5AF9" w:rsidP="008D5AF9">
      <w:pPr>
        <w:rPr>
          <w:sz w:val="24"/>
          <w:szCs w:val="24"/>
        </w:rPr>
      </w:pPr>
      <w:r w:rsidRPr="00EB3D44">
        <w:rPr>
          <w:sz w:val="24"/>
          <w:szCs w:val="24"/>
        </w:rPr>
        <w:t>Kun 15-64% af de der er smittet med HPV 6 og 11 udvikler kondylomer</w:t>
      </w:r>
      <w:r>
        <w:rPr>
          <w:sz w:val="24"/>
          <w:szCs w:val="24"/>
        </w:rPr>
        <w:t xml:space="preserve"> </w:t>
      </w:r>
      <w:r>
        <w:rPr>
          <w:noProof/>
          <w:sz w:val="24"/>
          <w:szCs w:val="24"/>
        </w:rPr>
        <w:t>(49-51)</w:t>
      </w:r>
      <w:r w:rsidRPr="00EB3D44">
        <w:rPr>
          <w:sz w:val="24"/>
          <w:szCs w:val="24"/>
        </w:rPr>
        <w:t>.  Det sker efter en median inkubationsperiode på 4-8 måneder</w:t>
      </w:r>
      <w:r>
        <w:rPr>
          <w:sz w:val="24"/>
          <w:szCs w:val="24"/>
        </w:rPr>
        <w:t xml:space="preserve"> </w:t>
      </w:r>
      <w:r>
        <w:rPr>
          <w:noProof/>
          <w:sz w:val="24"/>
          <w:szCs w:val="24"/>
        </w:rPr>
        <w:t>(52)</w:t>
      </w:r>
      <w:r w:rsidRPr="00EB3D44">
        <w:rPr>
          <w:sz w:val="24"/>
          <w:szCs w:val="24"/>
        </w:rPr>
        <w:t>. Risikofaktorer inkluderer antal seksualpartnere, antal år med seksuel aktivitet, andre kønssygdomme, rygning og immunsuppression</w:t>
      </w:r>
      <w:r>
        <w:rPr>
          <w:sz w:val="24"/>
          <w:szCs w:val="24"/>
        </w:rPr>
        <w:t xml:space="preserve"> </w:t>
      </w:r>
      <w:r>
        <w:rPr>
          <w:noProof/>
          <w:sz w:val="24"/>
          <w:szCs w:val="24"/>
        </w:rPr>
        <w:t>(53-55)</w:t>
      </w:r>
      <w:r w:rsidRPr="00EB3D44">
        <w:rPr>
          <w:sz w:val="24"/>
          <w:szCs w:val="24"/>
        </w:rPr>
        <w:t xml:space="preserve">.  </w:t>
      </w:r>
    </w:p>
    <w:p w:rsidR="008D5AF9" w:rsidRPr="00EB3D44" w:rsidRDefault="008D5AF9" w:rsidP="008D5AF9">
      <w:pPr>
        <w:rPr>
          <w:sz w:val="24"/>
          <w:szCs w:val="24"/>
        </w:rPr>
      </w:pPr>
      <w:r w:rsidRPr="00EB3D44">
        <w:rPr>
          <w:sz w:val="24"/>
          <w:szCs w:val="24"/>
        </w:rPr>
        <w:t xml:space="preserve">Der er identificeret over 200 forskellige HPV-typer, ca. 40 typer inficerer slimhindeepitelet og omkring </w:t>
      </w:r>
      <w:r w:rsidRPr="00EB3D44">
        <w:rPr>
          <w:rFonts w:cstheme="minorHAnsi"/>
          <w:sz w:val="24"/>
          <w:szCs w:val="24"/>
        </w:rPr>
        <w:t>13 højrisikotyper (</w:t>
      </w:r>
      <w:r w:rsidRPr="00EB3D44">
        <w:rPr>
          <w:rFonts w:cstheme="minorHAnsi"/>
          <w:sz w:val="24"/>
          <w:szCs w:val="24"/>
          <w:shd w:val="clear" w:color="auto" w:fill="FFFFFB"/>
        </w:rPr>
        <w:t>HPV 16, 18, 31, 33, 35, 39, 45, 51, 52, 56, 58, 59, and 68</w:t>
      </w:r>
      <w:r w:rsidRPr="00EB3D44">
        <w:rPr>
          <w:rFonts w:cstheme="minorHAnsi"/>
          <w:sz w:val="24"/>
          <w:szCs w:val="24"/>
        </w:rPr>
        <w:t>) er forbundet med u</w:t>
      </w:r>
      <w:r w:rsidRPr="00EB3D44">
        <w:rPr>
          <w:sz w:val="24"/>
          <w:szCs w:val="24"/>
        </w:rPr>
        <w:t>dvikling af cancer</w:t>
      </w:r>
      <w:r>
        <w:rPr>
          <w:sz w:val="24"/>
          <w:szCs w:val="24"/>
        </w:rPr>
        <w:t xml:space="preserve"> </w:t>
      </w:r>
      <w:r>
        <w:rPr>
          <w:noProof/>
          <w:sz w:val="24"/>
          <w:szCs w:val="24"/>
        </w:rPr>
        <w:t>(56)</w:t>
      </w:r>
      <w:r>
        <w:rPr>
          <w:sz w:val="24"/>
          <w:szCs w:val="24"/>
        </w:rPr>
        <w:t>.</w:t>
      </w:r>
      <w:r w:rsidRPr="00EB3D44">
        <w:rPr>
          <w:sz w:val="24"/>
          <w:szCs w:val="24"/>
        </w:rPr>
        <w:t xml:space="preserve"> Det drejer sig om cancer i anus, vulva, vagina, penis, oropharynx og cervix. Patienter med kondylomer har en relativt øget risiko for udvikling af HPV-relateret cancer i forhold til den generelle befolkning, formentlig pga. øget risiko for samtidig tilstedeværelse af højrisiko HPV-typer</w:t>
      </w:r>
      <w:r>
        <w:rPr>
          <w:sz w:val="24"/>
          <w:szCs w:val="24"/>
        </w:rPr>
        <w:t xml:space="preserve"> </w:t>
      </w:r>
      <w:r>
        <w:rPr>
          <w:noProof/>
          <w:sz w:val="24"/>
          <w:szCs w:val="24"/>
        </w:rPr>
        <w:t>(57, 58)</w:t>
      </w:r>
      <w:r>
        <w:rPr>
          <w:sz w:val="24"/>
          <w:szCs w:val="24"/>
        </w:rPr>
        <w:t>.</w:t>
      </w:r>
    </w:p>
    <w:p w:rsidR="008D5AF9" w:rsidRPr="00F66F15" w:rsidRDefault="008D5AF9" w:rsidP="008D5AF9">
      <w:pPr>
        <w:rPr>
          <w:b/>
          <w:bCs/>
          <w:sz w:val="24"/>
          <w:szCs w:val="24"/>
        </w:rPr>
      </w:pPr>
      <w:r w:rsidRPr="00F66F15">
        <w:rPr>
          <w:b/>
          <w:bCs/>
          <w:sz w:val="24"/>
          <w:szCs w:val="24"/>
        </w:rPr>
        <w:t>Diagnostik</w:t>
      </w:r>
    </w:p>
    <w:p w:rsidR="008D5AF9" w:rsidRPr="00EB3D44" w:rsidRDefault="008D5AF9" w:rsidP="008D5AF9">
      <w:pPr>
        <w:rPr>
          <w:sz w:val="24"/>
          <w:szCs w:val="24"/>
        </w:rPr>
      </w:pPr>
      <w:r w:rsidRPr="00EB3D44">
        <w:rPr>
          <w:sz w:val="24"/>
          <w:szCs w:val="24"/>
        </w:rPr>
        <w:t xml:space="preserve">Kondylomer diagnosticeres klinisk. De ses ofte som flere 1-10 mm asymptomatiske (evt. let kløende) bredbasede eller stilkede blomkålsformede, filiforme eller papuløse tumorer på eksterne og evt. interne genitalia. Sjældent kan kondylomer dukke op på ekstragenitale områder som cavum oris, larynx, konjunktiva og næsehulen. Kondylomer er benigne tumorer, dog med undtagelse af det sjældne gigantkondylom, Buschke-Löwensteins tumor, som kan være lokalt invasiv. </w:t>
      </w:r>
    </w:p>
    <w:p w:rsidR="008D5AF9" w:rsidRPr="00EB3D44" w:rsidRDefault="008D5AF9" w:rsidP="008D5AF9">
      <w:pPr>
        <w:rPr>
          <w:sz w:val="24"/>
          <w:szCs w:val="24"/>
        </w:rPr>
      </w:pPr>
      <w:r w:rsidRPr="00EB3D44">
        <w:rPr>
          <w:sz w:val="24"/>
          <w:szCs w:val="24"/>
        </w:rPr>
        <w:t>HPV-testning frarådes, da det er dyrt og ikke har behandlingsmæssige konsekvenser. Biopsi bør kun foretages ved tvivl om diagnosen eller ved mistanke om dysplasi eller malignitet. Ved genitale kondylomer hos kvinder anbefales GU med inspektion af cervix og vagina, og ved fund af cervikale kondylomer bør patienten henvises til gynækologisk regi for at udelukke dysplasi. Ved perianale kondylomer anbefales anoskopi, og optimalt ved anvendelse af kolposkop til undersøgelse af analkanalen. Ved penile kondylomer bør meatus urethra inspiceres</w:t>
      </w:r>
      <w:r>
        <w:rPr>
          <w:sz w:val="24"/>
          <w:szCs w:val="24"/>
        </w:rPr>
        <w:t xml:space="preserve"> </w:t>
      </w:r>
      <w:r>
        <w:rPr>
          <w:noProof/>
          <w:sz w:val="24"/>
          <w:szCs w:val="24"/>
        </w:rPr>
        <w:t>(59)</w:t>
      </w:r>
      <w:r>
        <w:rPr>
          <w:sz w:val="24"/>
          <w:szCs w:val="24"/>
        </w:rPr>
        <w:t>.</w:t>
      </w:r>
    </w:p>
    <w:p w:rsidR="008D5AF9" w:rsidRPr="00F66F15" w:rsidRDefault="008D5AF9" w:rsidP="008D5AF9">
      <w:pPr>
        <w:rPr>
          <w:b/>
          <w:bCs/>
          <w:sz w:val="24"/>
          <w:szCs w:val="24"/>
        </w:rPr>
      </w:pPr>
      <w:r w:rsidRPr="00F66F15">
        <w:rPr>
          <w:b/>
          <w:bCs/>
          <w:sz w:val="24"/>
          <w:szCs w:val="24"/>
        </w:rPr>
        <w:t>Behandling</w:t>
      </w:r>
    </w:p>
    <w:p w:rsidR="008D5AF9" w:rsidRPr="00EB3D44" w:rsidRDefault="008D5AF9" w:rsidP="008D5AF9">
      <w:pPr>
        <w:rPr>
          <w:sz w:val="24"/>
          <w:szCs w:val="24"/>
        </w:rPr>
      </w:pPr>
      <w:r w:rsidRPr="00EB3D44">
        <w:rPr>
          <w:sz w:val="24"/>
          <w:szCs w:val="24"/>
        </w:rPr>
        <w:t xml:space="preserve">En oversigt over </w:t>
      </w:r>
      <w:r>
        <w:rPr>
          <w:sz w:val="24"/>
          <w:szCs w:val="24"/>
        </w:rPr>
        <w:t>behandlinger af kondylomer</w:t>
      </w:r>
      <w:r w:rsidRPr="00EB3D44">
        <w:rPr>
          <w:sz w:val="24"/>
          <w:szCs w:val="24"/>
        </w:rPr>
        <w:t xml:space="preserve"> præsenteres i </w:t>
      </w:r>
      <w:r>
        <w:rPr>
          <w:sz w:val="24"/>
          <w:szCs w:val="24"/>
        </w:rPr>
        <w:t>t</w:t>
      </w:r>
      <w:r w:rsidRPr="00EB3D44">
        <w:rPr>
          <w:sz w:val="24"/>
          <w:szCs w:val="24"/>
        </w:rPr>
        <w:t xml:space="preserve">abel </w:t>
      </w:r>
      <w:r>
        <w:rPr>
          <w:sz w:val="24"/>
          <w:szCs w:val="24"/>
        </w:rPr>
        <w:t>10</w:t>
      </w:r>
      <w:r w:rsidRPr="00EB3D44">
        <w:rPr>
          <w:sz w:val="24"/>
          <w:szCs w:val="24"/>
        </w:rPr>
        <w:t xml:space="preserve">. </w:t>
      </w:r>
      <w:r>
        <w:rPr>
          <w:sz w:val="24"/>
          <w:szCs w:val="24"/>
        </w:rPr>
        <w:t>Studierne er</w:t>
      </w:r>
      <w:r w:rsidRPr="00EB3D44">
        <w:rPr>
          <w:sz w:val="24"/>
          <w:szCs w:val="24"/>
        </w:rPr>
        <w:t xml:space="preserve"> for immunkompetente patienter, </w:t>
      </w:r>
      <w:r>
        <w:rPr>
          <w:sz w:val="24"/>
          <w:szCs w:val="24"/>
        </w:rPr>
        <w:t xml:space="preserve">og </w:t>
      </w:r>
      <w:r w:rsidRPr="00EB3D44">
        <w:rPr>
          <w:sz w:val="24"/>
          <w:szCs w:val="24"/>
        </w:rPr>
        <w:t xml:space="preserve">referencer efter år 2000 er angivet. </w:t>
      </w:r>
    </w:p>
    <w:p w:rsidR="008D5AF9" w:rsidRPr="00EB3D44" w:rsidRDefault="008D5AF9" w:rsidP="008D5AF9">
      <w:pPr>
        <w:rPr>
          <w:sz w:val="24"/>
          <w:szCs w:val="24"/>
        </w:rPr>
      </w:pPr>
      <w:r w:rsidRPr="00EB3D44">
        <w:rPr>
          <w:sz w:val="24"/>
          <w:szCs w:val="24"/>
        </w:rPr>
        <w:t>Bivirkningsprofilen til de nuværende topikale behandlinger er sammenlignelige og alle kan give lokalreaktioner i form af erytem, ømhed, kløe, brænden, erosioner, og sår. Mindre udbredte behandlingsformer som sinecatechiner (grøn te), elektrokauterisation, podofyllin, interferon-</w:t>
      </w:r>
      <w:r w:rsidRPr="00EB3D44">
        <w:rPr>
          <w:rFonts w:cstheme="minorHAnsi"/>
          <w:sz w:val="24"/>
          <w:szCs w:val="24"/>
        </w:rPr>
        <w:t>α</w:t>
      </w:r>
      <w:r w:rsidRPr="00EB3D44">
        <w:rPr>
          <w:sz w:val="24"/>
          <w:szCs w:val="24"/>
        </w:rPr>
        <w:t xml:space="preserve"> eller -</w:t>
      </w:r>
      <w:r w:rsidRPr="00EB3D44">
        <w:rPr>
          <w:rFonts w:cstheme="minorHAnsi"/>
          <w:sz w:val="24"/>
          <w:szCs w:val="24"/>
        </w:rPr>
        <w:t>β</w:t>
      </w:r>
      <w:r w:rsidRPr="00EB3D44">
        <w:rPr>
          <w:sz w:val="24"/>
          <w:szCs w:val="24"/>
        </w:rPr>
        <w:t xml:space="preserve"> er ikke medtaget i aktuelle guideline.</w:t>
      </w:r>
    </w:p>
    <w:p w:rsidR="008D5AF9" w:rsidRDefault="008D5AF9" w:rsidP="008D5AF9">
      <w:pPr>
        <w:rPr>
          <w:sz w:val="24"/>
          <w:szCs w:val="24"/>
        </w:rPr>
      </w:pPr>
      <w:r w:rsidRPr="00EB3D44">
        <w:rPr>
          <w:sz w:val="24"/>
          <w:szCs w:val="24"/>
        </w:rPr>
        <w:t>For at forebygge eller lindre irritative bivirkninger tilrådes smøring med zink creme eller inotyol på det behandlede område på ikke behandlingsdage</w:t>
      </w:r>
    </w:p>
    <w:p w:rsidR="008D5AF9" w:rsidRDefault="008D5AF9" w:rsidP="008D5AF9">
      <w:pPr>
        <w:rPr>
          <w:sz w:val="24"/>
          <w:szCs w:val="24"/>
        </w:rPr>
      </w:pPr>
      <w:r w:rsidRPr="00EB3D44">
        <w:rPr>
          <w:sz w:val="24"/>
          <w:szCs w:val="24"/>
        </w:rPr>
        <w:t xml:space="preserve">Man bør overveje efterbehandling med imiquimod efter ablativ behandling i det et studie viste at behandling med imiquimod alene eller i kombination med ablativ behandling var superior i forhold til ablation alene </w:t>
      </w:r>
      <w:r>
        <w:rPr>
          <w:noProof/>
          <w:sz w:val="24"/>
          <w:szCs w:val="24"/>
        </w:rPr>
        <w:t>(60)</w:t>
      </w:r>
      <w:r>
        <w:rPr>
          <w:sz w:val="24"/>
          <w:szCs w:val="24"/>
        </w:rPr>
        <w:t>.</w:t>
      </w:r>
    </w:p>
    <w:p w:rsidR="008D5AF9" w:rsidRPr="00EB3D44" w:rsidRDefault="008D5AF9" w:rsidP="008D5AF9">
      <w:pPr>
        <w:rPr>
          <w:rFonts w:cstheme="minorHAnsi"/>
          <w:sz w:val="24"/>
          <w:szCs w:val="24"/>
        </w:rPr>
      </w:pPr>
      <w:r w:rsidRPr="00EB3D44">
        <w:rPr>
          <w:rFonts w:cstheme="minorHAnsi"/>
          <w:sz w:val="24"/>
          <w:szCs w:val="24"/>
        </w:rPr>
        <w:t xml:space="preserve">Tabel </w:t>
      </w:r>
      <w:r>
        <w:rPr>
          <w:rFonts w:cstheme="minorHAnsi"/>
          <w:sz w:val="24"/>
          <w:szCs w:val="24"/>
        </w:rPr>
        <w:t>11</w:t>
      </w:r>
      <w:r w:rsidRPr="00EB3D44">
        <w:rPr>
          <w:rFonts w:cstheme="minorHAnsi"/>
          <w:sz w:val="24"/>
          <w:szCs w:val="24"/>
        </w:rPr>
        <w:t xml:space="preserve"> viser et forslag til behandlingsalgoritme. Initialt bør forsøges hjemmebehandling med podofyllotoxin, men kan patienten ikke kooperere hertil, eller er der ganske få elementer</w:t>
      </w:r>
      <w:r>
        <w:rPr>
          <w:rFonts w:cstheme="minorHAnsi"/>
          <w:sz w:val="24"/>
          <w:szCs w:val="24"/>
        </w:rPr>
        <w:t>, som</w:t>
      </w:r>
      <w:r w:rsidRPr="00EB3D44">
        <w:rPr>
          <w:rFonts w:cstheme="minorHAnsi"/>
          <w:sz w:val="24"/>
          <w:szCs w:val="24"/>
        </w:rPr>
        <w:t xml:space="preserve"> patienten selv kan have svært ved at ramme, </w:t>
      </w:r>
      <w:r w:rsidR="00682D70">
        <w:rPr>
          <w:rFonts w:cstheme="minorHAnsi"/>
          <w:sz w:val="24"/>
          <w:szCs w:val="24"/>
        </w:rPr>
        <w:t>kan</w:t>
      </w:r>
      <w:r w:rsidRPr="00EB3D44">
        <w:rPr>
          <w:rFonts w:cstheme="minorHAnsi"/>
          <w:sz w:val="24"/>
          <w:szCs w:val="24"/>
        </w:rPr>
        <w:t xml:space="preserve"> </w:t>
      </w:r>
      <w:r>
        <w:rPr>
          <w:rFonts w:cstheme="minorHAnsi"/>
          <w:sz w:val="24"/>
          <w:szCs w:val="24"/>
        </w:rPr>
        <w:t xml:space="preserve">der </w:t>
      </w:r>
      <w:r w:rsidRPr="00EB3D44">
        <w:rPr>
          <w:rFonts w:cstheme="minorHAnsi"/>
          <w:sz w:val="24"/>
          <w:szCs w:val="24"/>
        </w:rPr>
        <w:t xml:space="preserve">primært tilbydes klinikbaseret behandling. Er der 50% effekt eller mere efter en given behandling fortsættes denne </w:t>
      </w:r>
      <w:r>
        <w:rPr>
          <w:rFonts w:cstheme="minorHAnsi"/>
          <w:sz w:val="24"/>
          <w:szCs w:val="24"/>
        </w:rPr>
        <w:t xml:space="preserve">i </w:t>
      </w:r>
      <w:r w:rsidRPr="00EB3D44">
        <w:rPr>
          <w:rFonts w:cstheme="minorHAnsi"/>
          <w:sz w:val="24"/>
          <w:szCs w:val="24"/>
        </w:rPr>
        <w:t>yderligere 4-8 uger, ellers tilrådes behandlingsskifte.</w:t>
      </w:r>
      <w:r w:rsidRPr="00EB3D44">
        <w:rPr>
          <w:sz w:val="24"/>
          <w:szCs w:val="24"/>
        </w:rPr>
        <w:t xml:space="preserve"> Spontan clearance er hos immunkompetente rapporteret i 0-50% af tilfældene</w:t>
      </w:r>
      <w:r>
        <w:rPr>
          <w:sz w:val="24"/>
          <w:szCs w:val="24"/>
        </w:rPr>
        <w:t xml:space="preserve"> </w:t>
      </w:r>
      <w:r>
        <w:rPr>
          <w:noProof/>
          <w:sz w:val="24"/>
          <w:szCs w:val="24"/>
        </w:rPr>
        <w:t>(61)</w:t>
      </w:r>
      <w:r w:rsidRPr="00EB3D44">
        <w:rPr>
          <w:sz w:val="24"/>
          <w:szCs w:val="24"/>
        </w:rPr>
        <w:t xml:space="preserve">, men vælges det at se an, skal </w:t>
      </w:r>
      <w:r w:rsidRPr="00EB3D44">
        <w:rPr>
          <w:rFonts w:cstheme="minorHAnsi"/>
          <w:sz w:val="24"/>
          <w:szCs w:val="24"/>
        </w:rPr>
        <w:t>patienten informeres om at risikoen for progression og sen</w:t>
      </w:r>
      <w:r>
        <w:rPr>
          <w:rFonts w:cstheme="minorHAnsi"/>
          <w:sz w:val="24"/>
          <w:szCs w:val="24"/>
        </w:rPr>
        <w:t>t</w:t>
      </w:r>
      <w:r w:rsidRPr="00EB3D44">
        <w:rPr>
          <w:rFonts w:cstheme="minorHAnsi"/>
          <w:sz w:val="24"/>
          <w:szCs w:val="24"/>
        </w:rPr>
        <w:t xml:space="preserve"> indsættende behandling er betydelig.</w:t>
      </w:r>
    </w:p>
    <w:p w:rsidR="008D5AF9" w:rsidRPr="00EB3D44" w:rsidRDefault="008D5AF9" w:rsidP="008D5AF9">
      <w:pPr>
        <w:rPr>
          <w:rFonts w:cstheme="minorHAnsi"/>
          <w:sz w:val="24"/>
          <w:szCs w:val="24"/>
        </w:rPr>
      </w:pPr>
      <w:r w:rsidRPr="00EB3D44">
        <w:rPr>
          <w:rFonts w:cstheme="minorHAnsi"/>
          <w:sz w:val="24"/>
          <w:szCs w:val="24"/>
        </w:rPr>
        <w:t>Behandlingen af kondylomer fjerner ikke nødvendigvis den underliggende HPV-infektion</w:t>
      </w:r>
      <w:r>
        <w:rPr>
          <w:rFonts w:cstheme="minorHAnsi"/>
          <w:sz w:val="24"/>
          <w:szCs w:val="24"/>
        </w:rPr>
        <w:t>.</w:t>
      </w:r>
      <w:r w:rsidRPr="00EB3D44">
        <w:rPr>
          <w:rFonts w:cstheme="minorHAnsi"/>
          <w:sz w:val="24"/>
          <w:szCs w:val="24"/>
        </w:rPr>
        <w:t xml:space="preserve"> </w:t>
      </w:r>
      <w:r>
        <w:rPr>
          <w:rFonts w:cstheme="minorHAnsi"/>
          <w:sz w:val="24"/>
          <w:szCs w:val="24"/>
        </w:rPr>
        <w:t>R</w:t>
      </w:r>
      <w:r w:rsidRPr="00EB3D44">
        <w:rPr>
          <w:rFonts w:cstheme="minorHAnsi"/>
          <w:sz w:val="24"/>
          <w:szCs w:val="24"/>
        </w:rPr>
        <w:t>ecidiv</w:t>
      </w:r>
      <w:r>
        <w:rPr>
          <w:rFonts w:cstheme="minorHAnsi"/>
          <w:sz w:val="24"/>
          <w:szCs w:val="24"/>
        </w:rPr>
        <w:t>raten</w:t>
      </w:r>
      <w:r w:rsidRPr="00EB3D44">
        <w:rPr>
          <w:rFonts w:cstheme="minorHAnsi"/>
          <w:sz w:val="24"/>
          <w:szCs w:val="24"/>
        </w:rPr>
        <w:t xml:space="preserve"> er </w:t>
      </w:r>
      <w:r>
        <w:rPr>
          <w:rFonts w:cstheme="minorHAnsi"/>
          <w:sz w:val="24"/>
          <w:szCs w:val="24"/>
        </w:rPr>
        <w:t>høj</w:t>
      </w:r>
      <w:r w:rsidRPr="00EB3D44">
        <w:rPr>
          <w:rFonts w:cstheme="minorHAnsi"/>
          <w:sz w:val="24"/>
          <w:szCs w:val="24"/>
        </w:rPr>
        <w:t xml:space="preserve"> og uafhængig</w:t>
      </w:r>
      <w:r>
        <w:rPr>
          <w:rFonts w:cstheme="minorHAnsi"/>
          <w:sz w:val="24"/>
          <w:szCs w:val="24"/>
        </w:rPr>
        <w:t>t</w:t>
      </w:r>
      <w:r w:rsidRPr="00EB3D44">
        <w:rPr>
          <w:rFonts w:cstheme="minorHAnsi"/>
          <w:sz w:val="24"/>
          <w:szCs w:val="24"/>
        </w:rPr>
        <w:t xml:space="preserve"> af</w:t>
      </w:r>
      <w:r>
        <w:rPr>
          <w:rFonts w:cstheme="minorHAnsi"/>
          <w:sz w:val="24"/>
          <w:szCs w:val="24"/>
        </w:rPr>
        <w:t xml:space="preserve"> hvilken behandling, der vælges</w:t>
      </w:r>
      <w:r w:rsidRPr="00EB3D44">
        <w:rPr>
          <w:rFonts w:cstheme="minorHAnsi"/>
          <w:sz w:val="24"/>
          <w:szCs w:val="24"/>
        </w:rPr>
        <w:t>. Recidiv ses hos op til 50% indenfor det første år efter endt behandling, men kan forekomme efter flere år</w:t>
      </w:r>
      <w:r>
        <w:rPr>
          <w:rFonts w:cstheme="minorHAnsi"/>
          <w:sz w:val="24"/>
          <w:szCs w:val="24"/>
        </w:rPr>
        <w:t xml:space="preserve"> </w:t>
      </w:r>
      <w:r>
        <w:rPr>
          <w:rFonts w:cstheme="minorHAnsi"/>
          <w:noProof/>
          <w:sz w:val="24"/>
          <w:szCs w:val="24"/>
        </w:rPr>
        <w:t>(61)</w:t>
      </w:r>
      <w:r w:rsidRPr="00EB3D44">
        <w:rPr>
          <w:rFonts w:cstheme="minorHAnsi"/>
          <w:sz w:val="24"/>
          <w:szCs w:val="24"/>
        </w:rPr>
        <w:t xml:space="preserve">. </w:t>
      </w:r>
    </w:p>
    <w:p w:rsidR="008D5AF9" w:rsidRDefault="008D5AF9" w:rsidP="008D5AF9">
      <w:pPr>
        <w:rPr>
          <w:sz w:val="24"/>
          <w:szCs w:val="24"/>
        </w:rPr>
      </w:pPr>
    </w:p>
    <w:p w:rsidR="008D5AF9" w:rsidRDefault="008D5AF9" w:rsidP="008D5AF9">
      <w:pPr>
        <w:rPr>
          <w:sz w:val="24"/>
          <w:szCs w:val="24"/>
        </w:rPr>
      </w:pPr>
    </w:p>
    <w:p w:rsidR="008D5AF9" w:rsidRDefault="008D5AF9" w:rsidP="008D5AF9">
      <w:pPr>
        <w:rPr>
          <w:sz w:val="24"/>
          <w:szCs w:val="24"/>
        </w:rPr>
      </w:pPr>
    </w:p>
    <w:p w:rsidR="008D5AF9" w:rsidRDefault="008D5AF9" w:rsidP="008D5AF9">
      <w:pPr>
        <w:rPr>
          <w:sz w:val="24"/>
          <w:szCs w:val="24"/>
        </w:rPr>
      </w:pPr>
    </w:p>
    <w:p w:rsidR="008D5AF9" w:rsidRDefault="008D5AF9" w:rsidP="008D5AF9">
      <w:pPr>
        <w:rPr>
          <w:sz w:val="24"/>
          <w:szCs w:val="24"/>
        </w:rPr>
      </w:pPr>
    </w:p>
    <w:p w:rsidR="008D5AF9" w:rsidRDefault="008D5AF9" w:rsidP="008D5AF9">
      <w:pPr>
        <w:rPr>
          <w:sz w:val="24"/>
          <w:szCs w:val="24"/>
        </w:rPr>
      </w:pPr>
    </w:p>
    <w:p w:rsidR="00517214" w:rsidRDefault="00517214" w:rsidP="008D5AF9">
      <w:pPr>
        <w:rPr>
          <w:sz w:val="24"/>
          <w:szCs w:val="24"/>
        </w:rPr>
      </w:pPr>
    </w:p>
    <w:p w:rsidR="00517214" w:rsidRDefault="00517214" w:rsidP="008D5AF9">
      <w:pPr>
        <w:rPr>
          <w:sz w:val="24"/>
          <w:szCs w:val="24"/>
        </w:rPr>
      </w:pPr>
    </w:p>
    <w:p w:rsidR="00517214" w:rsidRDefault="00517214" w:rsidP="008D5AF9">
      <w:pPr>
        <w:rPr>
          <w:sz w:val="24"/>
          <w:szCs w:val="24"/>
        </w:rPr>
      </w:pPr>
    </w:p>
    <w:p w:rsidR="00517214" w:rsidRDefault="00517214" w:rsidP="008D5AF9">
      <w:pPr>
        <w:rPr>
          <w:sz w:val="24"/>
          <w:szCs w:val="24"/>
        </w:rPr>
      </w:pPr>
    </w:p>
    <w:p w:rsidR="00517214" w:rsidRDefault="00517214" w:rsidP="008D5AF9">
      <w:pPr>
        <w:rPr>
          <w:sz w:val="24"/>
          <w:szCs w:val="24"/>
        </w:rPr>
      </w:pPr>
    </w:p>
    <w:p w:rsidR="00517214" w:rsidRDefault="00517214" w:rsidP="008D5AF9">
      <w:pPr>
        <w:rPr>
          <w:sz w:val="24"/>
          <w:szCs w:val="24"/>
        </w:rPr>
      </w:pPr>
    </w:p>
    <w:p w:rsidR="00517214" w:rsidRDefault="00517214" w:rsidP="008D5AF9">
      <w:pPr>
        <w:rPr>
          <w:sz w:val="24"/>
          <w:szCs w:val="24"/>
        </w:rPr>
      </w:pPr>
    </w:p>
    <w:p w:rsidR="00517214" w:rsidRDefault="00517214" w:rsidP="008D5AF9">
      <w:pPr>
        <w:rPr>
          <w:sz w:val="24"/>
          <w:szCs w:val="24"/>
        </w:rPr>
      </w:pPr>
    </w:p>
    <w:p w:rsidR="00517214" w:rsidRDefault="00517214" w:rsidP="008D5AF9">
      <w:pPr>
        <w:rPr>
          <w:sz w:val="24"/>
          <w:szCs w:val="24"/>
        </w:rPr>
      </w:pPr>
    </w:p>
    <w:p w:rsidR="00FB7303" w:rsidRDefault="00FB7303" w:rsidP="008D5AF9">
      <w:pPr>
        <w:rPr>
          <w:sz w:val="24"/>
          <w:szCs w:val="24"/>
        </w:rPr>
      </w:pPr>
    </w:p>
    <w:p w:rsidR="00FB7303" w:rsidRDefault="00FB7303" w:rsidP="008D5AF9">
      <w:pPr>
        <w:rPr>
          <w:sz w:val="24"/>
          <w:szCs w:val="24"/>
        </w:rPr>
      </w:pPr>
    </w:p>
    <w:p w:rsidR="00FB7303" w:rsidRDefault="00FB7303" w:rsidP="008D5AF9">
      <w:pPr>
        <w:rPr>
          <w:sz w:val="24"/>
          <w:szCs w:val="24"/>
        </w:rPr>
      </w:pPr>
    </w:p>
    <w:p w:rsidR="00FB7303" w:rsidRDefault="00FB7303" w:rsidP="008D5AF9">
      <w:pPr>
        <w:rPr>
          <w:sz w:val="24"/>
          <w:szCs w:val="24"/>
        </w:rPr>
      </w:pPr>
    </w:p>
    <w:p w:rsidR="00FB7303" w:rsidRDefault="00FB7303" w:rsidP="008D5AF9">
      <w:pPr>
        <w:rPr>
          <w:sz w:val="24"/>
          <w:szCs w:val="24"/>
        </w:rPr>
      </w:pPr>
    </w:p>
    <w:p w:rsidR="008D5AF9" w:rsidRDefault="008D5AF9" w:rsidP="008D5AF9">
      <w:pPr>
        <w:rPr>
          <w:sz w:val="24"/>
          <w:szCs w:val="24"/>
        </w:rPr>
      </w:pPr>
    </w:p>
    <w:p w:rsidR="008D5AF9" w:rsidRDefault="008D5AF9" w:rsidP="008D5AF9">
      <w:pPr>
        <w:pStyle w:val="Ingenafstand"/>
        <w:contextualSpacing/>
        <w:rPr>
          <w:sz w:val="24"/>
          <w:szCs w:val="24"/>
        </w:rPr>
      </w:pPr>
    </w:p>
    <w:tbl>
      <w:tblPr>
        <w:tblStyle w:val="Tabel-Gitter"/>
        <w:tblW w:w="10201" w:type="dxa"/>
        <w:tblLook w:val="04A0" w:firstRow="1" w:lastRow="0" w:firstColumn="1" w:lastColumn="0" w:noHBand="0" w:noVBand="1"/>
      </w:tblPr>
      <w:tblGrid>
        <w:gridCol w:w="2405"/>
        <w:gridCol w:w="2268"/>
        <w:gridCol w:w="2268"/>
        <w:gridCol w:w="1701"/>
        <w:gridCol w:w="1559"/>
      </w:tblGrid>
      <w:tr w:rsidR="008D5AF9" w:rsidTr="008D5AF9">
        <w:trPr>
          <w:trHeight w:val="276"/>
        </w:trPr>
        <w:tc>
          <w:tcPr>
            <w:tcW w:w="10201" w:type="dxa"/>
            <w:gridSpan w:val="5"/>
          </w:tcPr>
          <w:p w:rsidR="008D5AF9" w:rsidRDefault="008D5AF9" w:rsidP="008D5AF9">
            <w:pPr>
              <w:pStyle w:val="Ingenafstand"/>
              <w:contextualSpacing/>
              <w:rPr>
                <w:sz w:val="24"/>
                <w:szCs w:val="24"/>
              </w:rPr>
            </w:pPr>
            <w:r>
              <w:rPr>
                <w:b/>
                <w:bCs/>
                <w:sz w:val="24"/>
                <w:szCs w:val="24"/>
              </w:rPr>
              <w:t>Tabel 11</w:t>
            </w:r>
            <w:r w:rsidRPr="004F3B81">
              <w:rPr>
                <w:sz w:val="24"/>
                <w:szCs w:val="24"/>
              </w:rPr>
              <w:t>:</w:t>
            </w:r>
            <w:r w:rsidRPr="004E5D31">
              <w:rPr>
                <w:sz w:val="24"/>
                <w:szCs w:val="24"/>
              </w:rPr>
              <w:t xml:space="preserve"> Oversigt over tilgængelige, relevante behandlinger til patienter med kondylomer</w:t>
            </w:r>
            <w:r>
              <w:rPr>
                <w:sz w:val="24"/>
                <w:szCs w:val="24"/>
              </w:rPr>
              <w:t>.</w:t>
            </w:r>
          </w:p>
          <w:p w:rsidR="008D5AF9" w:rsidRPr="004F3B81" w:rsidRDefault="008D5AF9" w:rsidP="008D5AF9">
            <w:pPr>
              <w:pStyle w:val="Ingenafstand"/>
              <w:contextualSpacing/>
              <w:rPr>
                <w:sz w:val="24"/>
                <w:szCs w:val="24"/>
              </w:rPr>
            </w:pPr>
          </w:p>
        </w:tc>
      </w:tr>
      <w:tr w:rsidR="008D5AF9" w:rsidTr="008D5AF9">
        <w:trPr>
          <w:trHeight w:val="276"/>
        </w:trPr>
        <w:tc>
          <w:tcPr>
            <w:tcW w:w="2405" w:type="dxa"/>
          </w:tcPr>
          <w:p w:rsidR="008D5AF9" w:rsidRDefault="008D5AF9" w:rsidP="008D5AF9">
            <w:pPr>
              <w:pStyle w:val="Ingenafstand"/>
              <w:contextualSpacing/>
              <w:rPr>
                <w:sz w:val="24"/>
                <w:szCs w:val="24"/>
              </w:rPr>
            </w:pPr>
            <w:r>
              <w:rPr>
                <w:sz w:val="24"/>
                <w:szCs w:val="24"/>
              </w:rPr>
              <w:t>Intervention</w:t>
            </w:r>
          </w:p>
          <w:p w:rsidR="008D5AF9" w:rsidRDefault="008D5AF9" w:rsidP="008D5AF9">
            <w:pPr>
              <w:pStyle w:val="Ingenafstand"/>
              <w:contextualSpacing/>
              <w:rPr>
                <w:sz w:val="24"/>
                <w:szCs w:val="24"/>
              </w:rPr>
            </w:pPr>
          </w:p>
        </w:tc>
        <w:tc>
          <w:tcPr>
            <w:tcW w:w="2268" w:type="dxa"/>
          </w:tcPr>
          <w:p w:rsidR="008D5AF9" w:rsidRDefault="008D5AF9" w:rsidP="008D5AF9">
            <w:pPr>
              <w:pStyle w:val="Ingenafstand"/>
              <w:contextualSpacing/>
              <w:rPr>
                <w:sz w:val="24"/>
                <w:szCs w:val="24"/>
              </w:rPr>
            </w:pPr>
            <w:r>
              <w:rPr>
                <w:sz w:val="24"/>
                <w:szCs w:val="24"/>
              </w:rPr>
              <w:t>Virkningsmekanisme</w:t>
            </w:r>
          </w:p>
        </w:tc>
        <w:tc>
          <w:tcPr>
            <w:tcW w:w="2268" w:type="dxa"/>
          </w:tcPr>
          <w:p w:rsidR="008D5AF9" w:rsidRDefault="008D5AF9" w:rsidP="008D5AF9">
            <w:pPr>
              <w:pStyle w:val="Ingenafstand"/>
              <w:contextualSpacing/>
              <w:rPr>
                <w:sz w:val="24"/>
                <w:szCs w:val="24"/>
              </w:rPr>
            </w:pPr>
            <w:r>
              <w:rPr>
                <w:sz w:val="24"/>
                <w:szCs w:val="24"/>
              </w:rPr>
              <w:t>behandlingsregime</w:t>
            </w:r>
          </w:p>
        </w:tc>
        <w:tc>
          <w:tcPr>
            <w:tcW w:w="1701" w:type="dxa"/>
          </w:tcPr>
          <w:p w:rsidR="008D5AF9" w:rsidRDefault="008D5AF9" w:rsidP="008D5AF9">
            <w:pPr>
              <w:pStyle w:val="Ingenafstand"/>
              <w:contextualSpacing/>
              <w:rPr>
                <w:sz w:val="24"/>
                <w:szCs w:val="24"/>
              </w:rPr>
            </w:pPr>
            <w:r>
              <w:rPr>
                <w:sz w:val="24"/>
                <w:szCs w:val="24"/>
              </w:rPr>
              <w:t>Clearance</w:t>
            </w:r>
          </w:p>
        </w:tc>
        <w:tc>
          <w:tcPr>
            <w:tcW w:w="1559" w:type="dxa"/>
          </w:tcPr>
          <w:p w:rsidR="008D5AF9" w:rsidRDefault="008D5AF9" w:rsidP="008D5AF9">
            <w:pPr>
              <w:pStyle w:val="Ingenafstand"/>
              <w:contextualSpacing/>
              <w:rPr>
                <w:sz w:val="24"/>
                <w:szCs w:val="24"/>
              </w:rPr>
            </w:pPr>
            <w:r>
              <w:rPr>
                <w:sz w:val="24"/>
                <w:szCs w:val="24"/>
              </w:rPr>
              <w:t xml:space="preserve">Referencer </w:t>
            </w:r>
          </w:p>
        </w:tc>
      </w:tr>
      <w:tr w:rsidR="008D5AF9" w:rsidTr="008D5AF9">
        <w:trPr>
          <w:trHeight w:val="276"/>
        </w:trPr>
        <w:tc>
          <w:tcPr>
            <w:tcW w:w="10201" w:type="dxa"/>
            <w:gridSpan w:val="5"/>
            <w:tcBorders>
              <w:bottom w:val="single" w:sz="4" w:space="0" w:color="auto"/>
            </w:tcBorders>
          </w:tcPr>
          <w:p w:rsidR="008D5AF9" w:rsidRDefault="008D5AF9" w:rsidP="008D5AF9">
            <w:pPr>
              <w:pStyle w:val="Ingenafstand"/>
              <w:contextualSpacing/>
              <w:rPr>
                <w:sz w:val="24"/>
                <w:szCs w:val="24"/>
              </w:rPr>
            </w:pPr>
            <w:r>
              <w:rPr>
                <w:sz w:val="24"/>
                <w:szCs w:val="24"/>
              </w:rPr>
              <w:t>HJEMMEBEHANDLING</w:t>
            </w:r>
          </w:p>
        </w:tc>
      </w:tr>
      <w:tr w:rsidR="008D5AF9" w:rsidTr="008D5AF9">
        <w:trPr>
          <w:trHeight w:val="566"/>
        </w:trPr>
        <w:tc>
          <w:tcPr>
            <w:tcW w:w="2405" w:type="dxa"/>
            <w:tcBorders>
              <w:top w:val="single" w:sz="4" w:space="0" w:color="auto"/>
              <w:left w:val="single" w:sz="4" w:space="0" w:color="auto"/>
              <w:bottom w:val="nil"/>
              <w:right w:val="nil"/>
            </w:tcBorders>
          </w:tcPr>
          <w:p w:rsidR="008D5AF9" w:rsidRPr="00D50E9B" w:rsidRDefault="008D5AF9" w:rsidP="008D5AF9">
            <w:pPr>
              <w:pStyle w:val="Ingenafstand"/>
              <w:contextualSpacing/>
            </w:pPr>
            <w:r w:rsidRPr="00D50E9B">
              <w:t>Podofyllotoxin 5 mg/ml</w:t>
            </w:r>
          </w:p>
          <w:p w:rsidR="008D5AF9" w:rsidRPr="00D50E9B" w:rsidRDefault="008D5AF9" w:rsidP="008D5AF9">
            <w:pPr>
              <w:pStyle w:val="Ingenafstand"/>
              <w:contextualSpacing/>
            </w:pPr>
            <w:r w:rsidRPr="00D50E9B">
              <w:t>(kutanopløsning)</w:t>
            </w:r>
          </w:p>
        </w:tc>
        <w:tc>
          <w:tcPr>
            <w:tcW w:w="2268" w:type="dxa"/>
            <w:tcBorders>
              <w:top w:val="single" w:sz="4" w:space="0" w:color="auto"/>
              <w:left w:val="nil"/>
              <w:bottom w:val="nil"/>
              <w:right w:val="nil"/>
            </w:tcBorders>
          </w:tcPr>
          <w:p w:rsidR="008D5AF9" w:rsidRDefault="008D5AF9" w:rsidP="008D5AF9">
            <w:pPr>
              <w:pStyle w:val="Ingenafstand"/>
              <w:contextualSpacing/>
            </w:pPr>
            <w:r>
              <w:t>Mitosehæmmer, hindrer opbygningen af mikrotubuli og hindrer derved celledeling</w:t>
            </w:r>
          </w:p>
          <w:p w:rsidR="008D5AF9" w:rsidRPr="00D50E9B" w:rsidRDefault="008D5AF9" w:rsidP="008D5AF9">
            <w:pPr>
              <w:pStyle w:val="Ingenafstand"/>
              <w:contextualSpacing/>
            </w:pPr>
          </w:p>
        </w:tc>
        <w:tc>
          <w:tcPr>
            <w:tcW w:w="2268" w:type="dxa"/>
            <w:tcBorders>
              <w:top w:val="single" w:sz="4" w:space="0" w:color="auto"/>
              <w:left w:val="nil"/>
              <w:bottom w:val="nil"/>
              <w:right w:val="nil"/>
            </w:tcBorders>
          </w:tcPr>
          <w:p w:rsidR="008D5AF9" w:rsidRPr="00D50E9B" w:rsidRDefault="008D5AF9" w:rsidP="008D5AF9">
            <w:pPr>
              <w:pStyle w:val="Ingenafstand"/>
              <w:contextualSpacing/>
            </w:pPr>
            <w:r>
              <w:rPr>
                <w:rFonts w:cstheme="minorHAnsi"/>
              </w:rPr>
              <w:t>x</w:t>
            </w:r>
            <w:r>
              <w:t xml:space="preserve"> 2 dagligt i 3 dage, efterfulgt at 4 dages pause, gentage til effekt</w:t>
            </w:r>
          </w:p>
        </w:tc>
        <w:tc>
          <w:tcPr>
            <w:tcW w:w="1701" w:type="dxa"/>
            <w:tcBorders>
              <w:top w:val="single" w:sz="4" w:space="0" w:color="auto"/>
              <w:left w:val="nil"/>
              <w:bottom w:val="nil"/>
              <w:right w:val="nil"/>
            </w:tcBorders>
          </w:tcPr>
          <w:p w:rsidR="008D5AF9" w:rsidRPr="00D50E9B" w:rsidRDefault="008D5AF9" w:rsidP="008D5AF9">
            <w:pPr>
              <w:pStyle w:val="Ingenafstand"/>
              <w:contextualSpacing/>
            </w:pPr>
            <w:r>
              <w:t>36-83%</w:t>
            </w:r>
          </w:p>
        </w:tc>
        <w:tc>
          <w:tcPr>
            <w:tcW w:w="1559" w:type="dxa"/>
            <w:tcBorders>
              <w:top w:val="single" w:sz="4" w:space="0" w:color="auto"/>
              <w:left w:val="nil"/>
              <w:bottom w:val="nil"/>
              <w:right w:val="single" w:sz="4" w:space="0" w:color="auto"/>
            </w:tcBorders>
          </w:tcPr>
          <w:p w:rsidR="008D5AF9" w:rsidRDefault="008D5AF9" w:rsidP="008D5AF9">
            <w:pPr>
              <w:pStyle w:val="Ingenafstand"/>
              <w:contextualSpacing/>
            </w:pPr>
            <w:r>
              <w:rPr>
                <w:noProof/>
              </w:rPr>
              <w:t>(61-63)</w:t>
            </w:r>
          </w:p>
        </w:tc>
      </w:tr>
      <w:tr w:rsidR="008D5AF9" w:rsidTr="008D5AF9">
        <w:trPr>
          <w:trHeight w:val="276"/>
        </w:trPr>
        <w:tc>
          <w:tcPr>
            <w:tcW w:w="2405" w:type="dxa"/>
            <w:tcBorders>
              <w:top w:val="nil"/>
              <w:left w:val="single" w:sz="4" w:space="0" w:color="auto"/>
              <w:bottom w:val="nil"/>
              <w:right w:val="nil"/>
            </w:tcBorders>
          </w:tcPr>
          <w:p w:rsidR="008D5AF9" w:rsidRPr="00D50E9B" w:rsidRDefault="008D5AF9" w:rsidP="008D5AF9">
            <w:pPr>
              <w:pStyle w:val="Ingenafstand"/>
              <w:contextualSpacing/>
            </w:pPr>
            <w:r>
              <w:t>Imiquimod creme 5%</w:t>
            </w:r>
          </w:p>
        </w:tc>
        <w:tc>
          <w:tcPr>
            <w:tcW w:w="2268" w:type="dxa"/>
            <w:tcBorders>
              <w:top w:val="nil"/>
              <w:left w:val="nil"/>
              <w:bottom w:val="nil"/>
              <w:right w:val="nil"/>
            </w:tcBorders>
          </w:tcPr>
          <w:p w:rsidR="008D5AF9" w:rsidRDefault="008D5AF9" w:rsidP="008D5AF9">
            <w:pPr>
              <w:pStyle w:val="Ingenafstand"/>
              <w:contextualSpacing/>
            </w:pPr>
            <w:r>
              <w:t>Immunmodulator, stimulerer dannelse af cytokiner og aktiverer immunsystemet</w:t>
            </w:r>
          </w:p>
          <w:p w:rsidR="008D5AF9" w:rsidRPr="00D50E9B" w:rsidRDefault="008D5AF9" w:rsidP="008D5AF9">
            <w:pPr>
              <w:pStyle w:val="Ingenafstand"/>
              <w:contextualSpacing/>
            </w:pPr>
          </w:p>
        </w:tc>
        <w:tc>
          <w:tcPr>
            <w:tcW w:w="2268" w:type="dxa"/>
            <w:tcBorders>
              <w:top w:val="nil"/>
              <w:left w:val="nil"/>
              <w:bottom w:val="nil"/>
              <w:right w:val="nil"/>
            </w:tcBorders>
          </w:tcPr>
          <w:p w:rsidR="008D5AF9" w:rsidRPr="00D50E9B" w:rsidRDefault="008D5AF9" w:rsidP="008D5AF9">
            <w:pPr>
              <w:pStyle w:val="Ingenafstand"/>
              <w:contextualSpacing/>
            </w:pPr>
            <w:r>
              <w:rPr>
                <w:rFonts w:cstheme="minorHAnsi"/>
              </w:rPr>
              <w:t>x</w:t>
            </w:r>
            <w:r>
              <w:t xml:space="preserve"> 3 ugentlig aften, afvask efter 6-10 timer, max. 16 uger</w:t>
            </w:r>
          </w:p>
        </w:tc>
        <w:tc>
          <w:tcPr>
            <w:tcW w:w="1701" w:type="dxa"/>
            <w:tcBorders>
              <w:top w:val="nil"/>
              <w:left w:val="nil"/>
              <w:bottom w:val="nil"/>
              <w:right w:val="nil"/>
            </w:tcBorders>
          </w:tcPr>
          <w:p w:rsidR="008D5AF9" w:rsidRPr="00D50E9B" w:rsidRDefault="008D5AF9" w:rsidP="008D5AF9">
            <w:pPr>
              <w:pStyle w:val="Ingenafstand"/>
              <w:contextualSpacing/>
            </w:pPr>
            <w:r>
              <w:t>35-75%</w:t>
            </w:r>
          </w:p>
        </w:tc>
        <w:tc>
          <w:tcPr>
            <w:tcW w:w="1559" w:type="dxa"/>
            <w:tcBorders>
              <w:top w:val="nil"/>
              <w:left w:val="nil"/>
              <w:bottom w:val="nil"/>
              <w:right w:val="single" w:sz="4" w:space="0" w:color="auto"/>
            </w:tcBorders>
          </w:tcPr>
          <w:p w:rsidR="008D5AF9" w:rsidRDefault="008D5AF9" w:rsidP="008D5AF9">
            <w:pPr>
              <w:pStyle w:val="Ingenafstand"/>
              <w:contextualSpacing/>
            </w:pPr>
            <w:r>
              <w:rPr>
                <w:noProof/>
              </w:rPr>
              <w:t>(60, 61, 63-65)</w:t>
            </w:r>
          </w:p>
        </w:tc>
      </w:tr>
      <w:tr w:rsidR="008D5AF9" w:rsidTr="008D5AF9">
        <w:trPr>
          <w:trHeight w:val="290"/>
        </w:trPr>
        <w:tc>
          <w:tcPr>
            <w:tcW w:w="2405" w:type="dxa"/>
            <w:tcBorders>
              <w:top w:val="nil"/>
              <w:left w:val="single" w:sz="4" w:space="0" w:color="auto"/>
              <w:bottom w:val="nil"/>
              <w:right w:val="nil"/>
            </w:tcBorders>
          </w:tcPr>
          <w:p w:rsidR="008D5AF9" w:rsidRPr="00D50E9B" w:rsidRDefault="008D5AF9" w:rsidP="008D5AF9">
            <w:pPr>
              <w:pStyle w:val="Ingenafstand"/>
              <w:contextualSpacing/>
            </w:pPr>
            <w:r>
              <w:t xml:space="preserve">Cidofovir creme/gel 1%, </w:t>
            </w:r>
          </w:p>
        </w:tc>
        <w:tc>
          <w:tcPr>
            <w:tcW w:w="2268" w:type="dxa"/>
            <w:tcBorders>
              <w:top w:val="nil"/>
              <w:left w:val="nil"/>
              <w:bottom w:val="nil"/>
              <w:right w:val="nil"/>
            </w:tcBorders>
          </w:tcPr>
          <w:p w:rsidR="008D5AF9" w:rsidRPr="00D50E9B" w:rsidRDefault="008D5AF9" w:rsidP="008D5AF9">
            <w:pPr>
              <w:pStyle w:val="Ingenafstand"/>
              <w:contextualSpacing/>
            </w:pPr>
            <w:r>
              <w:t>Monofosfat nukleosid analog, hæmmer kompetitivt viral DNA polymerase</w:t>
            </w:r>
          </w:p>
        </w:tc>
        <w:tc>
          <w:tcPr>
            <w:tcW w:w="2268" w:type="dxa"/>
            <w:tcBorders>
              <w:top w:val="nil"/>
              <w:left w:val="nil"/>
              <w:bottom w:val="nil"/>
              <w:right w:val="nil"/>
            </w:tcBorders>
          </w:tcPr>
          <w:p w:rsidR="008D5AF9" w:rsidRDefault="008D5AF9" w:rsidP="008D5AF9">
            <w:pPr>
              <w:pStyle w:val="Ingenafstand"/>
              <w:contextualSpacing/>
            </w:pPr>
            <w:r>
              <w:rPr>
                <w:rFonts w:cstheme="minorHAnsi"/>
              </w:rPr>
              <w:t>x</w:t>
            </w:r>
            <w:r>
              <w:t xml:space="preserve"> 3 ugentlig, max 16 uger eller x 5 ugentlig hver 2. uge, max. 12 uger. (aftenbrug, afvask morgen)</w:t>
            </w:r>
          </w:p>
          <w:p w:rsidR="008D5AF9" w:rsidRPr="00D50E9B" w:rsidRDefault="008D5AF9" w:rsidP="008D5AF9">
            <w:pPr>
              <w:pStyle w:val="Ingenafstand"/>
              <w:contextualSpacing/>
            </w:pPr>
          </w:p>
        </w:tc>
        <w:tc>
          <w:tcPr>
            <w:tcW w:w="1701" w:type="dxa"/>
            <w:tcBorders>
              <w:top w:val="nil"/>
              <w:left w:val="nil"/>
              <w:bottom w:val="nil"/>
              <w:right w:val="nil"/>
            </w:tcBorders>
          </w:tcPr>
          <w:p w:rsidR="008D5AF9" w:rsidRPr="00D50E9B" w:rsidRDefault="008D5AF9" w:rsidP="008D5AF9">
            <w:pPr>
              <w:pStyle w:val="Ingenafstand"/>
              <w:contextualSpacing/>
            </w:pPr>
            <w:r>
              <w:t>47%</w:t>
            </w:r>
          </w:p>
        </w:tc>
        <w:tc>
          <w:tcPr>
            <w:tcW w:w="1559" w:type="dxa"/>
            <w:tcBorders>
              <w:top w:val="nil"/>
              <w:left w:val="nil"/>
              <w:bottom w:val="nil"/>
              <w:right w:val="single" w:sz="4" w:space="0" w:color="auto"/>
            </w:tcBorders>
          </w:tcPr>
          <w:p w:rsidR="008D5AF9" w:rsidRDefault="008D5AF9" w:rsidP="008D5AF9">
            <w:pPr>
              <w:pStyle w:val="Ingenafstand"/>
              <w:contextualSpacing/>
            </w:pPr>
            <w:r>
              <w:rPr>
                <w:noProof/>
              </w:rPr>
              <w:t>(66)</w:t>
            </w:r>
          </w:p>
        </w:tc>
      </w:tr>
      <w:tr w:rsidR="008D5AF9" w:rsidTr="008D5AF9">
        <w:trPr>
          <w:trHeight w:val="276"/>
        </w:trPr>
        <w:tc>
          <w:tcPr>
            <w:tcW w:w="2405" w:type="dxa"/>
            <w:tcBorders>
              <w:top w:val="nil"/>
              <w:left w:val="single" w:sz="4" w:space="0" w:color="auto"/>
              <w:bottom w:val="single" w:sz="4" w:space="0" w:color="auto"/>
              <w:right w:val="nil"/>
            </w:tcBorders>
          </w:tcPr>
          <w:p w:rsidR="008D5AF9" w:rsidRPr="00D50E9B" w:rsidRDefault="008D5AF9" w:rsidP="008D5AF9">
            <w:pPr>
              <w:pStyle w:val="Ingenafstand"/>
              <w:contextualSpacing/>
            </w:pPr>
            <w:r>
              <w:t xml:space="preserve">Flourouracil creme 4-5% </w:t>
            </w:r>
          </w:p>
        </w:tc>
        <w:tc>
          <w:tcPr>
            <w:tcW w:w="2268" w:type="dxa"/>
            <w:tcBorders>
              <w:top w:val="nil"/>
              <w:left w:val="nil"/>
              <w:bottom w:val="single" w:sz="4" w:space="0" w:color="auto"/>
              <w:right w:val="nil"/>
            </w:tcBorders>
          </w:tcPr>
          <w:p w:rsidR="008D5AF9" w:rsidRPr="00D50E9B" w:rsidRDefault="008D5AF9" w:rsidP="008D5AF9">
            <w:pPr>
              <w:pStyle w:val="Ingenafstand"/>
              <w:contextualSpacing/>
            </w:pPr>
            <w:r>
              <w:t>DNA- og RNA syntese hæmmer via enzymatisk hæmning af dannelsen af thymidin</w:t>
            </w:r>
          </w:p>
        </w:tc>
        <w:tc>
          <w:tcPr>
            <w:tcW w:w="2268" w:type="dxa"/>
            <w:tcBorders>
              <w:top w:val="nil"/>
              <w:left w:val="nil"/>
              <w:bottom w:val="single" w:sz="4" w:space="0" w:color="auto"/>
              <w:right w:val="nil"/>
            </w:tcBorders>
          </w:tcPr>
          <w:p w:rsidR="008D5AF9" w:rsidRPr="00D50E9B" w:rsidRDefault="008D5AF9" w:rsidP="008D5AF9">
            <w:pPr>
              <w:pStyle w:val="Ingenafstand"/>
              <w:contextualSpacing/>
            </w:pPr>
            <w:r>
              <w:rPr>
                <w:rFonts w:cstheme="minorHAnsi"/>
              </w:rPr>
              <w:t>x</w:t>
            </w:r>
            <w:r>
              <w:t xml:space="preserve"> 2 ugentlig i 8 uger eller </w:t>
            </w:r>
            <w:r>
              <w:rPr>
                <w:rFonts w:cstheme="minorHAnsi"/>
              </w:rPr>
              <w:t>x</w:t>
            </w:r>
            <w:r>
              <w:t xml:space="preserve"> 3 ugentlig i 2 uger eller </w:t>
            </w:r>
            <w:r>
              <w:rPr>
                <w:rFonts w:cstheme="minorHAnsi"/>
              </w:rPr>
              <w:t>x</w:t>
            </w:r>
            <w:r>
              <w:t xml:space="preserve"> 1 daglig i 2-4 uger</w:t>
            </w:r>
            <w:r>
              <w:rPr>
                <w:rFonts w:cstheme="minorHAnsi"/>
              </w:rPr>
              <w:t>¹</w:t>
            </w:r>
          </w:p>
        </w:tc>
        <w:tc>
          <w:tcPr>
            <w:tcW w:w="1701" w:type="dxa"/>
            <w:tcBorders>
              <w:top w:val="nil"/>
              <w:left w:val="nil"/>
              <w:bottom w:val="single" w:sz="4" w:space="0" w:color="auto"/>
              <w:right w:val="nil"/>
            </w:tcBorders>
          </w:tcPr>
          <w:p w:rsidR="008D5AF9" w:rsidRPr="00D50E9B" w:rsidRDefault="008D5AF9" w:rsidP="008D5AF9">
            <w:pPr>
              <w:pStyle w:val="Ingenafstand"/>
              <w:contextualSpacing/>
            </w:pPr>
            <w:r>
              <w:t>60%</w:t>
            </w:r>
          </w:p>
        </w:tc>
        <w:tc>
          <w:tcPr>
            <w:tcW w:w="1559" w:type="dxa"/>
            <w:tcBorders>
              <w:top w:val="nil"/>
              <w:left w:val="nil"/>
              <w:bottom w:val="single" w:sz="4" w:space="0" w:color="auto"/>
              <w:right w:val="single" w:sz="4" w:space="0" w:color="auto"/>
            </w:tcBorders>
          </w:tcPr>
          <w:p w:rsidR="008D5AF9" w:rsidRDefault="008D5AF9" w:rsidP="008D5AF9">
            <w:pPr>
              <w:pStyle w:val="Ingenafstand"/>
              <w:contextualSpacing/>
            </w:pPr>
            <w:r>
              <w:rPr>
                <w:noProof/>
              </w:rPr>
              <w:t>(67)</w:t>
            </w:r>
          </w:p>
        </w:tc>
      </w:tr>
      <w:tr w:rsidR="008D5AF9" w:rsidTr="008D5AF9">
        <w:trPr>
          <w:trHeight w:val="276"/>
        </w:trPr>
        <w:tc>
          <w:tcPr>
            <w:tcW w:w="10201" w:type="dxa"/>
            <w:gridSpan w:val="5"/>
            <w:tcBorders>
              <w:top w:val="single" w:sz="4" w:space="0" w:color="auto"/>
              <w:left w:val="single" w:sz="4" w:space="0" w:color="auto"/>
              <w:bottom w:val="single" w:sz="4" w:space="0" w:color="auto"/>
              <w:right w:val="single" w:sz="4" w:space="0" w:color="auto"/>
            </w:tcBorders>
          </w:tcPr>
          <w:p w:rsidR="008D5AF9" w:rsidRPr="00447005" w:rsidRDefault="008D5AF9" w:rsidP="008D5AF9">
            <w:pPr>
              <w:pStyle w:val="Ingenafstand"/>
              <w:contextualSpacing/>
              <w:rPr>
                <w:sz w:val="24"/>
                <w:szCs w:val="24"/>
              </w:rPr>
            </w:pPr>
            <w:r w:rsidRPr="00447005">
              <w:rPr>
                <w:sz w:val="24"/>
                <w:szCs w:val="24"/>
              </w:rPr>
              <w:t>KLINIKBEHANDLING</w:t>
            </w:r>
          </w:p>
        </w:tc>
      </w:tr>
      <w:tr w:rsidR="008D5AF9" w:rsidTr="008D5AF9">
        <w:trPr>
          <w:trHeight w:val="276"/>
        </w:trPr>
        <w:tc>
          <w:tcPr>
            <w:tcW w:w="2405" w:type="dxa"/>
            <w:tcBorders>
              <w:top w:val="single" w:sz="4" w:space="0" w:color="auto"/>
              <w:left w:val="single" w:sz="4" w:space="0" w:color="auto"/>
              <w:bottom w:val="nil"/>
              <w:right w:val="nil"/>
            </w:tcBorders>
          </w:tcPr>
          <w:p w:rsidR="008D5AF9" w:rsidRPr="00D50E9B" w:rsidRDefault="008D5AF9" w:rsidP="008D5AF9">
            <w:pPr>
              <w:pStyle w:val="Ingenafstand"/>
              <w:contextualSpacing/>
            </w:pPr>
            <w:r>
              <w:t>Kryobehandling</w:t>
            </w:r>
          </w:p>
        </w:tc>
        <w:tc>
          <w:tcPr>
            <w:tcW w:w="2268" w:type="dxa"/>
            <w:tcBorders>
              <w:top w:val="single" w:sz="4" w:space="0" w:color="auto"/>
              <w:left w:val="nil"/>
              <w:bottom w:val="nil"/>
              <w:right w:val="nil"/>
            </w:tcBorders>
          </w:tcPr>
          <w:p w:rsidR="008D5AF9" w:rsidRPr="00D50E9B" w:rsidRDefault="008D5AF9" w:rsidP="008D5AF9">
            <w:pPr>
              <w:pStyle w:val="Ingenafstand"/>
              <w:contextualSpacing/>
            </w:pPr>
            <w:r>
              <w:t>Lokal overfladisk frysning/destruktion med flydende nitrogen</w:t>
            </w:r>
          </w:p>
        </w:tc>
        <w:tc>
          <w:tcPr>
            <w:tcW w:w="2268" w:type="dxa"/>
            <w:tcBorders>
              <w:top w:val="single" w:sz="4" w:space="0" w:color="auto"/>
              <w:left w:val="nil"/>
              <w:bottom w:val="nil"/>
              <w:right w:val="nil"/>
            </w:tcBorders>
          </w:tcPr>
          <w:p w:rsidR="008D5AF9" w:rsidRPr="00D50E9B" w:rsidRDefault="008D5AF9" w:rsidP="008D5AF9">
            <w:pPr>
              <w:pStyle w:val="Ingenafstand"/>
              <w:contextualSpacing/>
            </w:pPr>
            <w:r>
              <w:t xml:space="preserve">2 </w:t>
            </w:r>
            <w:r>
              <w:rPr>
                <w:rFonts w:cstheme="minorHAnsi"/>
              </w:rPr>
              <w:t>x</w:t>
            </w:r>
            <w:r>
              <w:t xml:space="preserve"> 10-20 sekunder, en gang ugentlig</w:t>
            </w:r>
          </w:p>
        </w:tc>
        <w:tc>
          <w:tcPr>
            <w:tcW w:w="1701" w:type="dxa"/>
            <w:tcBorders>
              <w:top w:val="single" w:sz="4" w:space="0" w:color="auto"/>
              <w:left w:val="nil"/>
              <w:bottom w:val="nil"/>
              <w:right w:val="nil"/>
            </w:tcBorders>
          </w:tcPr>
          <w:p w:rsidR="008D5AF9" w:rsidRPr="00D50E9B" w:rsidRDefault="008D5AF9" w:rsidP="008D5AF9">
            <w:pPr>
              <w:pStyle w:val="Ingenafstand"/>
              <w:contextualSpacing/>
            </w:pPr>
            <w:r>
              <w:t>44-87%</w:t>
            </w:r>
          </w:p>
        </w:tc>
        <w:tc>
          <w:tcPr>
            <w:tcW w:w="1559" w:type="dxa"/>
            <w:tcBorders>
              <w:top w:val="single" w:sz="4" w:space="0" w:color="auto"/>
              <w:left w:val="nil"/>
              <w:bottom w:val="nil"/>
              <w:right w:val="single" w:sz="4" w:space="0" w:color="auto"/>
            </w:tcBorders>
          </w:tcPr>
          <w:p w:rsidR="008D5AF9" w:rsidRPr="00D50E9B" w:rsidRDefault="008D5AF9" w:rsidP="008D5AF9">
            <w:pPr>
              <w:pStyle w:val="Ingenafstand"/>
              <w:contextualSpacing/>
            </w:pPr>
            <w:r>
              <w:rPr>
                <w:noProof/>
              </w:rPr>
              <w:t>(61, 68, 69)</w:t>
            </w:r>
          </w:p>
        </w:tc>
      </w:tr>
      <w:tr w:rsidR="008D5AF9" w:rsidTr="008D5AF9">
        <w:trPr>
          <w:trHeight w:val="276"/>
        </w:trPr>
        <w:tc>
          <w:tcPr>
            <w:tcW w:w="2405" w:type="dxa"/>
            <w:tcBorders>
              <w:top w:val="nil"/>
              <w:left w:val="single" w:sz="4" w:space="0" w:color="auto"/>
              <w:bottom w:val="nil"/>
              <w:right w:val="nil"/>
            </w:tcBorders>
          </w:tcPr>
          <w:p w:rsidR="008D5AF9" w:rsidRPr="00D50E9B" w:rsidRDefault="008D5AF9" w:rsidP="008D5AF9">
            <w:pPr>
              <w:pStyle w:val="Ingenafstand"/>
              <w:contextualSpacing/>
            </w:pPr>
            <w:r>
              <w:t>Trichloreddikesyre 80-90%</w:t>
            </w:r>
          </w:p>
        </w:tc>
        <w:tc>
          <w:tcPr>
            <w:tcW w:w="2268" w:type="dxa"/>
            <w:tcBorders>
              <w:top w:val="nil"/>
              <w:left w:val="nil"/>
              <w:bottom w:val="nil"/>
              <w:right w:val="nil"/>
            </w:tcBorders>
          </w:tcPr>
          <w:p w:rsidR="008D5AF9" w:rsidRPr="00D50E9B" w:rsidRDefault="008D5AF9" w:rsidP="008D5AF9">
            <w:pPr>
              <w:pStyle w:val="Ingenafstand"/>
              <w:contextualSpacing/>
            </w:pPr>
            <w:r>
              <w:t>Ætsende</w:t>
            </w:r>
          </w:p>
        </w:tc>
        <w:tc>
          <w:tcPr>
            <w:tcW w:w="2268" w:type="dxa"/>
            <w:tcBorders>
              <w:top w:val="nil"/>
              <w:left w:val="nil"/>
              <w:bottom w:val="nil"/>
              <w:right w:val="nil"/>
            </w:tcBorders>
          </w:tcPr>
          <w:p w:rsidR="008D5AF9" w:rsidRPr="00D50E9B" w:rsidRDefault="008D5AF9" w:rsidP="008D5AF9">
            <w:pPr>
              <w:pStyle w:val="Ingenafstand"/>
              <w:contextualSpacing/>
            </w:pPr>
            <w:r>
              <w:rPr>
                <w:rFonts w:cstheme="minorHAnsi"/>
              </w:rPr>
              <w:t>x</w:t>
            </w:r>
            <w:r>
              <w:t xml:space="preserve"> 1 ugentlig</w:t>
            </w:r>
          </w:p>
        </w:tc>
        <w:tc>
          <w:tcPr>
            <w:tcW w:w="1701" w:type="dxa"/>
            <w:tcBorders>
              <w:top w:val="nil"/>
              <w:left w:val="nil"/>
              <w:bottom w:val="nil"/>
              <w:right w:val="nil"/>
            </w:tcBorders>
          </w:tcPr>
          <w:p w:rsidR="008D5AF9" w:rsidRPr="00D50E9B" w:rsidRDefault="008D5AF9" w:rsidP="008D5AF9">
            <w:pPr>
              <w:pStyle w:val="Ingenafstand"/>
              <w:contextualSpacing/>
            </w:pPr>
            <w:r>
              <w:t>56-94%</w:t>
            </w:r>
          </w:p>
        </w:tc>
        <w:tc>
          <w:tcPr>
            <w:tcW w:w="1559" w:type="dxa"/>
            <w:tcBorders>
              <w:top w:val="nil"/>
              <w:left w:val="nil"/>
              <w:bottom w:val="nil"/>
              <w:right w:val="single" w:sz="4" w:space="0" w:color="auto"/>
            </w:tcBorders>
          </w:tcPr>
          <w:p w:rsidR="008D5AF9" w:rsidRPr="00D50E9B" w:rsidRDefault="008D5AF9" w:rsidP="008D5AF9">
            <w:pPr>
              <w:pStyle w:val="Ingenafstand"/>
              <w:contextualSpacing/>
            </w:pPr>
            <w:r>
              <w:rPr>
                <w:noProof/>
              </w:rPr>
              <w:t>(61, 63, 68, 70)</w:t>
            </w:r>
          </w:p>
        </w:tc>
      </w:tr>
      <w:tr w:rsidR="008D5AF9" w:rsidTr="008D5AF9">
        <w:trPr>
          <w:trHeight w:val="276"/>
        </w:trPr>
        <w:tc>
          <w:tcPr>
            <w:tcW w:w="2405" w:type="dxa"/>
            <w:tcBorders>
              <w:top w:val="nil"/>
              <w:left w:val="single" w:sz="4" w:space="0" w:color="auto"/>
              <w:bottom w:val="single" w:sz="4" w:space="0" w:color="auto"/>
              <w:right w:val="nil"/>
            </w:tcBorders>
          </w:tcPr>
          <w:p w:rsidR="008D5AF9" w:rsidRDefault="008D5AF9" w:rsidP="008D5AF9">
            <w:pPr>
              <w:pStyle w:val="Ingenafstand"/>
              <w:contextualSpacing/>
            </w:pPr>
            <w:r>
              <w:t>CO2-laser</w:t>
            </w:r>
          </w:p>
          <w:p w:rsidR="008D5AF9" w:rsidRPr="00D50E9B" w:rsidRDefault="008D5AF9" w:rsidP="008D5AF9">
            <w:pPr>
              <w:pStyle w:val="Ingenafstand"/>
              <w:contextualSpacing/>
            </w:pPr>
          </w:p>
        </w:tc>
        <w:tc>
          <w:tcPr>
            <w:tcW w:w="2268" w:type="dxa"/>
            <w:tcBorders>
              <w:top w:val="nil"/>
              <w:left w:val="nil"/>
              <w:bottom w:val="single" w:sz="4" w:space="0" w:color="auto"/>
              <w:right w:val="nil"/>
            </w:tcBorders>
          </w:tcPr>
          <w:p w:rsidR="008D5AF9" w:rsidRPr="00D50E9B" w:rsidRDefault="008D5AF9" w:rsidP="008D5AF9">
            <w:pPr>
              <w:pStyle w:val="Ingenafstand"/>
              <w:contextualSpacing/>
            </w:pPr>
            <w:r>
              <w:t>Termisk destruktion</w:t>
            </w:r>
          </w:p>
        </w:tc>
        <w:tc>
          <w:tcPr>
            <w:tcW w:w="2268" w:type="dxa"/>
            <w:tcBorders>
              <w:top w:val="nil"/>
              <w:left w:val="nil"/>
              <w:bottom w:val="single" w:sz="4" w:space="0" w:color="auto"/>
              <w:right w:val="nil"/>
            </w:tcBorders>
          </w:tcPr>
          <w:p w:rsidR="008D5AF9" w:rsidRPr="00D50E9B" w:rsidRDefault="008D5AF9" w:rsidP="008D5AF9">
            <w:pPr>
              <w:pStyle w:val="Ingenafstand"/>
              <w:contextualSpacing/>
            </w:pPr>
          </w:p>
        </w:tc>
        <w:tc>
          <w:tcPr>
            <w:tcW w:w="1701" w:type="dxa"/>
            <w:tcBorders>
              <w:top w:val="nil"/>
              <w:left w:val="nil"/>
              <w:bottom w:val="single" w:sz="4" w:space="0" w:color="auto"/>
              <w:right w:val="nil"/>
            </w:tcBorders>
          </w:tcPr>
          <w:p w:rsidR="008D5AF9" w:rsidRPr="00D50E9B" w:rsidRDefault="008D5AF9" w:rsidP="008D5AF9">
            <w:pPr>
              <w:pStyle w:val="Ingenafstand"/>
              <w:spacing w:line="360" w:lineRule="auto"/>
              <w:contextualSpacing/>
            </w:pPr>
            <w:r>
              <w:t>64-100</w:t>
            </w:r>
          </w:p>
        </w:tc>
        <w:tc>
          <w:tcPr>
            <w:tcW w:w="1559" w:type="dxa"/>
            <w:tcBorders>
              <w:top w:val="nil"/>
              <w:left w:val="nil"/>
              <w:bottom w:val="single" w:sz="4" w:space="0" w:color="auto"/>
              <w:right w:val="single" w:sz="4" w:space="0" w:color="auto"/>
            </w:tcBorders>
          </w:tcPr>
          <w:p w:rsidR="008D5AF9" w:rsidRPr="00D50E9B" w:rsidRDefault="008D5AF9" w:rsidP="008D5AF9">
            <w:pPr>
              <w:pStyle w:val="Ingenafstand"/>
              <w:contextualSpacing/>
            </w:pPr>
            <w:r>
              <w:rPr>
                <w:noProof/>
              </w:rPr>
              <w:t>(61, 71)</w:t>
            </w:r>
          </w:p>
        </w:tc>
      </w:tr>
    </w:tbl>
    <w:p w:rsidR="008D5AF9" w:rsidRPr="009778C9" w:rsidRDefault="008D5AF9" w:rsidP="008D5AF9">
      <w:pPr>
        <w:pStyle w:val="Ingenafstand"/>
        <w:contextualSpacing/>
      </w:pPr>
      <w:r w:rsidRPr="00D66DAE">
        <w:t xml:space="preserve"> </w:t>
      </w:r>
      <w:r>
        <w:rPr>
          <w:rFonts w:cstheme="minorHAnsi"/>
          <w:sz w:val="24"/>
          <w:szCs w:val="24"/>
        </w:rPr>
        <w:t>¹</w:t>
      </w:r>
      <w:r w:rsidRPr="009778C9">
        <w:t>Behandlingsregimerne anført for cidofovir og 5-flourouracil er de som er rapporterede i de anførte studier.  Vi anbefaler x 1 daglig mandag til fredag og effektvurdering efter 8 ugers behandling.</w:t>
      </w:r>
    </w:p>
    <w:p w:rsidR="008D5AF9" w:rsidRDefault="008D5AF9" w:rsidP="008D5AF9">
      <w:pPr>
        <w:pStyle w:val="Ingenafstand"/>
        <w:contextualSpacing/>
        <w:rPr>
          <w:sz w:val="24"/>
          <w:szCs w:val="24"/>
        </w:rPr>
      </w:pPr>
    </w:p>
    <w:p w:rsidR="008D5AF9" w:rsidRDefault="008D5AF9" w:rsidP="008D5AF9">
      <w:pPr>
        <w:rPr>
          <w:rFonts w:cstheme="minorHAnsi"/>
        </w:rPr>
      </w:pPr>
    </w:p>
    <w:p w:rsidR="00517214" w:rsidRDefault="00517214" w:rsidP="008D5AF9">
      <w:pPr>
        <w:rPr>
          <w:rFonts w:cstheme="minorHAnsi"/>
        </w:rPr>
      </w:pPr>
    </w:p>
    <w:p w:rsidR="00517214" w:rsidRDefault="00517214" w:rsidP="008D5AF9">
      <w:pPr>
        <w:rPr>
          <w:rFonts w:cstheme="minorHAnsi"/>
        </w:rPr>
      </w:pPr>
    </w:p>
    <w:p w:rsidR="00517214" w:rsidRDefault="00517214" w:rsidP="008D5AF9">
      <w:pPr>
        <w:rPr>
          <w:rFonts w:cstheme="minorHAnsi"/>
        </w:rPr>
      </w:pPr>
    </w:p>
    <w:p w:rsidR="00517214" w:rsidRDefault="00517214" w:rsidP="008D5AF9">
      <w:pPr>
        <w:rPr>
          <w:rFonts w:cstheme="minorHAnsi"/>
        </w:rPr>
      </w:pPr>
    </w:p>
    <w:tbl>
      <w:tblPr>
        <w:tblStyle w:val="Tabel-Gitter"/>
        <w:tblW w:w="10557" w:type="dxa"/>
        <w:tblLook w:val="04A0" w:firstRow="1" w:lastRow="0" w:firstColumn="1" w:lastColumn="0" w:noHBand="0" w:noVBand="1"/>
      </w:tblPr>
      <w:tblGrid>
        <w:gridCol w:w="2639"/>
        <w:gridCol w:w="2639"/>
        <w:gridCol w:w="2639"/>
        <w:gridCol w:w="2640"/>
      </w:tblGrid>
      <w:tr w:rsidR="008D5AF9" w:rsidTr="008D5AF9">
        <w:trPr>
          <w:trHeight w:val="608"/>
        </w:trPr>
        <w:tc>
          <w:tcPr>
            <w:tcW w:w="10557" w:type="dxa"/>
            <w:gridSpan w:val="4"/>
            <w:tcBorders>
              <w:bottom w:val="single" w:sz="4" w:space="0" w:color="auto"/>
            </w:tcBorders>
          </w:tcPr>
          <w:p w:rsidR="008D5AF9" w:rsidRDefault="008D5AF9" w:rsidP="008D5AF9">
            <w:pPr>
              <w:pStyle w:val="Ingenafstand"/>
              <w:contextualSpacing/>
              <w:rPr>
                <w:rFonts w:cstheme="minorHAnsi"/>
                <w:sz w:val="24"/>
                <w:szCs w:val="24"/>
              </w:rPr>
            </w:pPr>
            <w:r>
              <w:rPr>
                <w:rFonts w:cstheme="minorHAnsi"/>
                <w:sz w:val="24"/>
                <w:szCs w:val="24"/>
              </w:rPr>
              <w:t xml:space="preserve">Tabel 12    Forslag til behandlingsalgoritme af eksterne kondylomer vulva, penis, perianalt (Modificeret fra Larsen et al. </w:t>
            </w:r>
            <w:r>
              <w:rPr>
                <w:rFonts w:cstheme="minorHAnsi"/>
                <w:noProof/>
                <w:sz w:val="24"/>
                <w:szCs w:val="24"/>
              </w:rPr>
              <w:t>(72)</w:t>
            </w:r>
            <w:r w:rsidR="009029E7">
              <w:rPr>
                <w:rFonts w:cstheme="minorHAnsi"/>
                <w:noProof/>
                <w:sz w:val="24"/>
                <w:szCs w:val="24"/>
              </w:rPr>
              <w:t>)</w:t>
            </w:r>
          </w:p>
          <w:p w:rsidR="008D5AF9" w:rsidRDefault="008D5AF9" w:rsidP="008D5AF9">
            <w:pPr>
              <w:pStyle w:val="Ingenafstand"/>
              <w:contextualSpacing/>
              <w:rPr>
                <w:rFonts w:cstheme="minorHAnsi"/>
                <w:sz w:val="24"/>
                <w:szCs w:val="24"/>
              </w:rPr>
            </w:pPr>
          </w:p>
        </w:tc>
      </w:tr>
      <w:tr w:rsidR="008D5AF9" w:rsidTr="008D5AF9">
        <w:trPr>
          <w:trHeight w:val="592"/>
        </w:trPr>
        <w:tc>
          <w:tcPr>
            <w:tcW w:w="2639" w:type="dxa"/>
            <w:tcBorders>
              <w:top w:val="single" w:sz="4" w:space="0" w:color="auto"/>
              <w:left w:val="single" w:sz="4" w:space="0" w:color="auto"/>
              <w:bottom w:val="single" w:sz="4" w:space="0" w:color="auto"/>
              <w:right w:val="nil"/>
            </w:tcBorders>
          </w:tcPr>
          <w:p w:rsidR="008D5AF9" w:rsidRDefault="008D5AF9" w:rsidP="008D5AF9">
            <w:pPr>
              <w:pStyle w:val="Ingenafstand"/>
              <w:contextualSpacing/>
              <w:rPr>
                <w:rFonts w:cstheme="minorHAnsi"/>
                <w:sz w:val="24"/>
                <w:szCs w:val="24"/>
              </w:rPr>
            </w:pPr>
            <w:r>
              <w:rPr>
                <w:rFonts w:cstheme="minorHAnsi"/>
                <w:sz w:val="24"/>
                <w:szCs w:val="24"/>
              </w:rPr>
              <w:t>Udbredning</w:t>
            </w:r>
          </w:p>
          <w:p w:rsidR="008D5AF9" w:rsidRDefault="008D5AF9" w:rsidP="008D5AF9">
            <w:pPr>
              <w:pStyle w:val="Ingenafstand"/>
              <w:contextualSpacing/>
              <w:rPr>
                <w:rFonts w:cstheme="minorHAnsi"/>
                <w:sz w:val="24"/>
                <w:szCs w:val="24"/>
              </w:rPr>
            </w:pPr>
          </w:p>
        </w:tc>
        <w:tc>
          <w:tcPr>
            <w:tcW w:w="2639" w:type="dxa"/>
            <w:tcBorders>
              <w:top w:val="single" w:sz="4" w:space="0" w:color="auto"/>
              <w:left w:val="nil"/>
              <w:bottom w:val="single" w:sz="4" w:space="0" w:color="auto"/>
              <w:right w:val="nil"/>
            </w:tcBorders>
            <w:shd w:val="clear" w:color="auto" w:fill="auto"/>
          </w:tcPr>
          <w:p w:rsidR="008D5AF9" w:rsidRDefault="008D5AF9" w:rsidP="008D5AF9">
            <w:pPr>
              <w:pStyle w:val="Ingenafstand"/>
              <w:contextualSpacing/>
              <w:rPr>
                <w:rFonts w:cstheme="minorHAnsi"/>
                <w:sz w:val="24"/>
                <w:szCs w:val="24"/>
              </w:rPr>
            </w:pPr>
            <w:r>
              <w:rPr>
                <w:rFonts w:cstheme="minorHAnsi"/>
                <w:sz w:val="24"/>
                <w:szCs w:val="24"/>
              </w:rPr>
              <w:t>Få stilkede</w:t>
            </w:r>
          </w:p>
        </w:tc>
        <w:tc>
          <w:tcPr>
            <w:tcW w:w="2639" w:type="dxa"/>
            <w:tcBorders>
              <w:top w:val="single" w:sz="4" w:space="0" w:color="auto"/>
              <w:left w:val="nil"/>
              <w:bottom w:val="single" w:sz="4" w:space="0" w:color="auto"/>
              <w:right w:val="nil"/>
            </w:tcBorders>
            <w:shd w:val="clear" w:color="auto" w:fill="auto"/>
          </w:tcPr>
          <w:p w:rsidR="008D5AF9" w:rsidRDefault="008D5AF9" w:rsidP="008D5AF9">
            <w:pPr>
              <w:pStyle w:val="Ingenafstand"/>
              <w:contextualSpacing/>
              <w:rPr>
                <w:rFonts w:cstheme="minorHAnsi"/>
                <w:sz w:val="24"/>
                <w:szCs w:val="24"/>
              </w:rPr>
            </w:pPr>
            <w:r>
              <w:rPr>
                <w:rFonts w:cstheme="minorHAnsi"/>
                <w:sz w:val="24"/>
                <w:szCs w:val="24"/>
              </w:rPr>
              <w:t>Moderat til udbredte</w:t>
            </w:r>
          </w:p>
        </w:tc>
        <w:tc>
          <w:tcPr>
            <w:tcW w:w="2640" w:type="dxa"/>
            <w:tcBorders>
              <w:top w:val="single" w:sz="4" w:space="0" w:color="auto"/>
              <w:left w:val="nil"/>
              <w:bottom w:val="single" w:sz="4" w:space="0" w:color="auto"/>
              <w:right w:val="single" w:sz="4" w:space="0" w:color="auto"/>
            </w:tcBorders>
            <w:shd w:val="clear" w:color="auto" w:fill="auto"/>
          </w:tcPr>
          <w:p w:rsidR="008D5AF9" w:rsidRDefault="008D5AF9" w:rsidP="008D5AF9">
            <w:pPr>
              <w:pStyle w:val="Ingenafstand"/>
              <w:contextualSpacing/>
              <w:rPr>
                <w:rFonts w:cstheme="minorHAnsi"/>
                <w:sz w:val="24"/>
                <w:szCs w:val="24"/>
              </w:rPr>
            </w:pPr>
            <w:r>
              <w:rPr>
                <w:rFonts w:cstheme="minorHAnsi"/>
                <w:sz w:val="24"/>
                <w:szCs w:val="24"/>
              </w:rPr>
              <w:t>Få papuløse</w:t>
            </w:r>
          </w:p>
        </w:tc>
      </w:tr>
      <w:tr w:rsidR="008D5AF9" w:rsidTr="008D5AF9">
        <w:trPr>
          <w:trHeight w:val="608"/>
        </w:trPr>
        <w:tc>
          <w:tcPr>
            <w:tcW w:w="2639" w:type="dxa"/>
            <w:tcBorders>
              <w:top w:val="single" w:sz="4" w:space="0" w:color="auto"/>
              <w:left w:val="single" w:sz="4" w:space="0" w:color="auto"/>
              <w:bottom w:val="nil"/>
              <w:right w:val="nil"/>
            </w:tcBorders>
          </w:tcPr>
          <w:p w:rsidR="008D5AF9" w:rsidRDefault="008D5AF9" w:rsidP="008D5AF9">
            <w:pPr>
              <w:pStyle w:val="Ingenafstand"/>
              <w:contextualSpacing/>
              <w:rPr>
                <w:rFonts w:cstheme="minorHAnsi"/>
                <w:sz w:val="24"/>
                <w:szCs w:val="24"/>
              </w:rPr>
            </w:pPr>
            <w:r>
              <w:rPr>
                <w:rFonts w:cstheme="minorHAnsi"/>
                <w:sz w:val="24"/>
                <w:szCs w:val="24"/>
              </w:rPr>
              <w:t xml:space="preserve">Behandlingsforslag </w:t>
            </w:r>
          </w:p>
        </w:tc>
        <w:tc>
          <w:tcPr>
            <w:tcW w:w="2639" w:type="dxa"/>
            <w:tcBorders>
              <w:top w:val="single" w:sz="4" w:space="0" w:color="auto"/>
              <w:left w:val="nil"/>
              <w:bottom w:val="nil"/>
              <w:right w:val="nil"/>
            </w:tcBorders>
            <w:shd w:val="clear" w:color="auto" w:fill="auto"/>
          </w:tcPr>
          <w:p w:rsidR="008D5AF9" w:rsidRDefault="008D5AF9" w:rsidP="008D5AF9">
            <w:pPr>
              <w:pStyle w:val="Ingenafstand"/>
              <w:contextualSpacing/>
              <w:rPr>
                <w:rFonts w:cstheme="minorHAnsi"/>
                <w:sz w:val="24"/>
                <w:szCs w:val="24"/>
              </w:rPr>
            </w:pPr>
            <w:r>
              <w:rPr>
                <w:rFonts w:cstheme="minorHAnsi"/>
                <w:sz w:val="24"/>
                <w:szCs w:val="24"/>
              </w:rPr>
              <w:t>Afklip</w:t>
            </w:r>
          </w:p>
        </w:tc>
        <w:tc>
          <w:tcPr>
            <w:tcW w:w="2639" w:type="dxa"/>
            <w:tcBorders>
              <w:top w:val="single" w:sz="4" w:space="0" w:color="auto"/>
              <w:left w:val="nil"/>
              <w:bottom w:val="nil"/>
              <w:right w:val="nil"/>
            </w:tcBorders>
            <w:shd w:val="clear" w:color="auto" w:fill="auto"/>
          </w:tcPr>
          <w:p w:rsidR="008D5AF9" w:rsidRDefault="008D5AF9" w:rsidP="008D5AF9">
            <w:pPr>
              <w:pStyle w:val="Ingenafstand"/>
              <w:contextualSpacing/>
              <w:rPr>
                <w:rFonts w:cstheme="minorHAnsi"/>
                <w:sz w:val="24"/>
                <w:szCs w:val="24"/>
              </w:rPr>
            </w:pPr>
            <w:r>
              <w:rPr>
                <w:rFonts w:cstheme="minorHAnsi"/>
                <w:sz w:val="24"/>
                <w:szCs w:val="24"/>
              </w:rPr>
              <w:t>Hjemmebehandling podofyllotoxin kutanliniment 4-8 uger</w:t>
            </w:r>
          </w:p>
          <w:p w:rsidR="008D5AF9" w:rsidRDefault="008D5AF9" w:rsidP="008D5AF9">
            <w:pPr>
              <w:pStyle w:val="Ingenafstand"/>
              <w:contextualSpacing/>
              <w:rPr>
                <w:rFonts w:cstheme="minorHAnsi"/>
                <w:sz w:val="24"/>
                <w:szCs w:val="24"/>
              </w:rPr>
            </w:pPr>
          </w:p>
        </w:tc>
        <w:tc>
          <w:tcPr>
            <w:tcW w:w="2640" w:type="dxa"/>
            <w:tcBorders>
              <w:top w:val="single" w:sz="4" w:space="0" w:color="auto"/>
              <w:left w:val="nil"/>
              <w:bottom w:val="nil"/>
              <w:right w:val="single" w:sz="4" w:space="0" w:color="auto"/>
            </w:tcBorders>
            <w:shd w:val="clear" w:color="auto" w:fill="auto"/>
          </w:tcPr>
          <w:p w:rsidR="008D5AF9" w:rsidRDefault="008D5AF9" w:rsidP="008D5AF9">
            <w:pPr>
              <w:pStyle w:val="Ingenafstand"/>
              <w:contextualSpacing/>
              <w:rPr>
                <w:rFonts w:cstheme="minorHAnsi"/>
                <w:sz w:val="24"/>
                <w:szCs w:val="24"/>
              </w:rPr>
            </w:pPr>
            <w:r>
              <w:rPr>
                <w:rFonts w:cstheme="minorHAnsi"/>
                <w:sz w:val="24"/>
                <w:szCs w:val="24"/>
              </w:rPr>
              <w:t>Trichloreddikesyre 80-90% eller kryoterapi x 1 ugentligt i 4-8 uger</w:t>
            </w:r>
          </w:p>
        </w:tc>
      </w:tr>
      <w:tr w:rsidR="008D5AF9" w:rsidTr="008D5AF9">
        <w:trPr>
          <w:trHeight w:val="296"/>
        </w:trPr>
        <w:tc>
          <w:tcPr>
            <w:tcW w:w="2639" w:type="dxa"/>
            <w:tcBorders>
              <w:top w:val="nil"/>
              <w:left w:val="single" w:sz="4" w:space="0" w:color="auto"/>
              <w:bottom w:val="nil"/>
              <w:right w:val="nil"/>
            </w:tcBorders>
          </w:tcPr>
          <w:p w:rsidR="008D5AF9" w:rsidRDefault="008D5AF9" w:rsidP="008D5AF9">
            <w:pPr>
              <w:pStyle w:val="Ingenafstand"/>
              <w:contextualSpacing/>
              <w:rPr>
                <w:rFonts w:cstheme="minorHAnsi"/>
                <w:sz w:val="24"/>
                <w:szCs w:val="24"/>
              </w:rPr>
            </w:pPr>
            <w:r>
              <w:rPr>
                <w:rFonts w:cstheme="minorHAnsi"/>
                <w:sz w:val="24"/>
                <w:szCs w:val="24"/>
              </w:rPr>
              <w:t>1. revurdering, hvis ej 50% effekt da tilbyd</w:t>
            </w:r>
          </w:p>
        </w:tc>
        <w:tc>
          <w:tcPr>
            <w:tcW w:w="2639" w:type="dxa"/>
            <w:tcBorders>
              <w:top w:val="nil"/>
              <w:left w:val="nil"/>
              <w:bottom w:val="nil"/>
              <w:right w:val="nil"/>
            </w:tcBorders>
            <w:shd w:val="clear" w:color="auto" w:fill="auto"/>
          </w:tcPr>
          <w:p w:rsidR="008D5AF9" w:rsidRDefault="008D5AF9" w:rsidP="008D5AF9">
            <w:pPr>
              <w:pStyle w:val="Ingenafstand"/>
              <w:contextualSpacing/>
              <w:rPr>
                <w:rFonts w:cstheme="minorHAnsi"/>
                <w:sz w:val="24"/>
                <w:szCs w:val="24"/>
              </w:rPr>
            </w:pPr>
          </w:p>
        </w:tc>
        <w:tc>
          <w:tcPr>
            <w:tcW w:w="2639" w:type="dxa"/>
            <w:tcBorders>
              <w:top w:val="nil"/>
              <w:left w:val="nil"/>
              <w:bottom w:val="nil"/>
              <w:right w:val="nil"/>
            </w:tcBorders>
            <w:shd w:val="clear" w:color="auto" w:fill="auto"/>
          </w:tcPr>
          <w:p w:rsidR="008D5AF9" w:rsidRDefault="008D5AF9" w:rsidP="008D5AF9">
            <w:pPr>
              <w:pStyle w:val="Ingenafstand"/>
              <w:contextualSpacing/>
              <w:rPr>
                <w:rFonts w:cstheme="minorHAnsi"/>
                <w:sz w:val="24"/>
                <w:szCs w:val="24"/>
              </w:rPr>
            </w:pPr>
            <w:r>
              <w:rPr>
                <w:rFonts w:cstheme="minorHAnsi"/>
                <w:sz w:val="24"/>
                <w:szCs w:val="24"/>
              </w:rPr>
              <w:t>Kryoterapi x 1 ugentlig i 4-8 uger</w:t>
            </w:r>
          </w:p>
          <w:p w:rsidR="008D5AF9" w:rsidRDefault="008D5AF9" w:rsidP="008D5AF9">
            <w:pPr>
              <w:pStyle w:val="Ingenafstand"/>
              <w:contextualSpacing/>
              <w:rPr>
                <w:rFonts w:cstheme="minorHAnsi"/>
                <w:sz w:val="24"/>
                <w:szCs w:val="24"/>
              </w:rPr>
            </w:pPr>
          </w:p>
        </w:tc>
        <w:tc>
          <w:tcPr>
            <w:tcW w:w="2640" w:type="dxa"/>
            <w:tcBorders>
              <w:top w:val="nil"/>
              <w:left w:val="nil"/>
              <w:bottom w:val="nil"/>
              <w:right w:val="single" w:sz="4" w:space="0" w:color="auto"/>
            </w:tcBorders>
            <w:shd w:val="clear" w:color="auto" w:fill="auto"/>
          </w:tcPr>
          <w:p w:rsidR="008D5AF9" w:rsidRDefault="008D5AF9" w:rsidP="008D5AF9">
            <w:pPr>
              <w:pStyle w:val="Ingenafstand"/>
              <w:contextualSpacing/>
              <w:rPr>
                <w:rFonts w:cstheme="minorHAnsi"/>
                <w:sz w:val="24"/>
                <w:szCs w:val="24"/>
              </w:rPr>
            </w:pPr>
          </w:p>
        </w:tc>
      </w:tr>
      <w:tr w:rsidR="008D5AF9" w:rsidTr="008D5AF9">
        <w:trPr>
          <w:trHeight w:val="311"/>
        </w:trPr>
        <w:tc>
          <w:tcPr>
            <w:tcW w:w="2639" w:type="dxa"/>
            <w:tcBorders>
              <w:top w:val="nil"/>
              <w:left w:val="single" w:sz="4" w:space="0" w:color="auto"/>
              <w:bottom w:val="nil"/>
              <w:right w:val="nil"/>
            </w:tcBorders>
          </w:tcPr>
          <w:p w:rsidR="008D5AF9" w:rsidRDefault="008D5AF9" w:rsidP="008D5AF9">
            <w:pPr>
              <w:pStyle w:val="Ingenafstand"/>
              <w:contextualSpacing/>
              <w:rPr>
                <w:rFonts w:cstheme="minorHAnsi"/>
                <w:sz w:val="24"/>
                <w:szCs w:val="24"/>
              </w:rPr>
            </w:pPr>
            <w:r>
              <w:rPr>
                <w:rFonts w:cstheme="minorHAnsi"/>
                <w:sz w:val="24"/>
                <w:szCs w:val="24"/>
              </w:rPr>
              <w:t>2. revurdering, hvis ej effekt da tilbyd</w:t>
            </w:r>
          </w:p>
        </w:tc>
        <w:tc>
          <w:tcPr>
            <w:tcW w:w="2639" w:type="dxa"/>
            <w:tcBorders>
              <w:top w:val="nil"/>
              <w:left w:val="nil"/>
              <w:bottom w:val="nil"/>
              <w:right w:val="nil"/>
            </w:tcBorders>
            <w:shd w:val="clear" w:color="auto" w:fill="auto"/>
          </w:tcPr>
          <w:p w:rsidR="008D5AF9" w:rsidRDefault="008D5AF9" w:rsidP="008D5AF9">
            <w:pPr>
              <w:pStyle w:val="Ingenafstand"/>
              <w:contextualSpacing/>
              <w:rPr>
                <w:rFonts w:cstheme="minorHAnsi"/>
                <w:sz w:val="24"/>
                <w:szCs w:val="24"/>
              </w:rPr>
            </w:pPr>
          </w:p>
        </w:tc>
        <w:tc>
          <w:tcPr>
            <w:tcW w:w="2639" w:type="dxa"/>
            <w:tcBorders>
              <w:top w:val="nil"/>
              <w:left w:val="nil"/>
              <w:bottom w:val="nil"/>
              <w:right w:val="nil"/>
            </w:tcBorders>
            <w:shd w:val="clear" w:color="auto" w:fill="auto"/>
          </w:tcPr>
          <w:p w:rsidR="008D5AF9" w:rsidRDefault="008D5AF9" w:rsidP="008D5AF9">
            <w:pPr>
              <w:pStyle w:val="Ingenafstand"/>
              <w:contextualSpacing/>
              <w:rPr>
                <w:rFonts w:cstheme="minorHAnsi"/>
                <w:sz w:val="24"/>
                <w:szCs w:val="24"/>
              </w:rPr>
            </w:pPr>
            <w:r>
              <w:rPr>
                <w:rFonts w:cstheme="minorHAnsi"/>
                <w:sz w:val="24"/>
                <w:szCs w:val="24"/>
              </w:rPr>
              <w:t>Hjemmebehandling imiquimod 5% x 3 ugentlitg i 4-8 uger¹</w:t>
            </w:r>
          </w:p>
          <w:p w:rsidR="008D5AF9" w:rsidRDefault="008D5AF9" w:rsidP="008D5AF9">
            <w:pPr>
              <w:pStyle w:val="Ingenafstand"/>
              <w:contextualSpacing/>
              <w:rPr>
                <w:rFonts w:cstheme="minorHAnsi"/>
                <w:sz w:val="24"/>
                <w:szCs w:val="24"/>
              </w:rPr>
            </w:pPr>
          </w:p>
        </w:tc>
        <w:tc>
          <w:tcPr>
            <w:tcW w:w="2640" w:type="dxa"/>
            <w:tcBorders>
              <w:top w:val="nil"/>
              <w:left w:val="nil"/>
              <w:bottom w:val="nil"/>
              <w:right w:val="single" w:sz="4" w:space="0" w:color="auto"/>
            </w:tcBorders>
            <w:shd w:val="clear" w:color="auto" w:fill="auto"/>
          </w:tcPr>
          <w:p w:rsidR="008D5AF9" w:rsidRDefault="008D5AF9" w:rsidP="008D5AF9">
            <w:pPr>
              <w:pStyle w:val="Ingenafstand"/>
              <w:contextualSpacing/>
              <w:rPr>
                <w:rFonts w:cstheme="minorHAnsi"/>
                <w:sz w:val="24"/>
                <w:szCs w:val="24"/>
              </w:rPr>
            </w:pPr>
          </w:p>
        </w:tc>
      </w:tr>
      <w:tr w:rsidR="008D5AF9" w:rsidRPr="009971B6" w:rsidTr="008D5AF9">
        <w:trPr>
          <w:trHeight w:val="296"/>
        </w:trPr>
        <w:tc>
          <w:tcPr>
            <w:tcW w:w="2639" w:type="dxa"/>
            <w:tcBorders>
              <w:top w:val="nil"/>
              <w:left w:val="single" w:sz="4" w:space="0" w:color="auto"/>
              <w:bottom w:val="single" w:sz="4" w:space="0" w:color="auto"/>
              <w:right w:val="nil"/>
            </w:tcBorders>
          </w:tcPr>
          <w:p w:rsidR="008D5AF9" w:rsidRDefault="008D5AF9" w:rsidP="008D5AF9">
            <w:pPr>
              <w:pStyle w:val="Ingenafstand"/>
              <w:contextualSpacing/>
              <w:rPr>
                <w:rFonts w:cstheme="minorHAnsi"/>
                <w:sz w:val="24"/>
                <w:szCs w:val="24"/>
              </w:rPr>
            </w:pPr>
            <w:r>
              <w:rPr>
                <w:rFonts w:cstheme="minorHAnsi"/>
                <w:sz w:val="24"/>
                <w:szCs w:val="24"/>
              </w:rPr>
              <w:t>3. revurdering, hvis ej effekt, da henvis til specialafdeling</w:t>
            </w:r>
          </w:p>
        </w:tc>
        <w:tc>
          <w:tcPr>
            <w:tcW w:w="2639" w:type="dxa"/>
            <w:tcBorders>
              <w:top w:val="nil"/>
              <w:left w:val="nil"/>
              <w:bottom w:val="single" w:sz="4" w:space="0" w:color="auto"/>
              <w:right w:val="nil"/>
            </w:tcBorders>
            <w:shd w:val="clear" w:color="auto" w:fill="auto"/>
          </w:tcPr>
          <w:p w:rsidR="008D5AF9" w:rsidRDefault="008D5AF9" w:rsidP="008D5AF9">
            <w:pPr>
              <w:pStyle w:val="Ingenafstand"/>
              <w:contextualSpacing/>
              <w:rPr>
                <w:rFonts w:cstheme="minorHAnsi"/>
                <w:sz w:val="24"/>
                <w:szCs w:val="24"/>
              </w:rPr>
            </w:pPr>
          </w:p>
        </w:tc>
        <w:tc>
          <w:tcPr>
            <w:tcW w:w="2639" w:type="dxa"/>
            <w:tcBorders>
              <w:top w:val="nil"/>
              <w:left w:val="nil"/>
              <w:bottom w:val="single" w:sz="4" w:space="0" w:color="auto"/>
              <w:right w:val="nil"/>
            </w:tcBorders>
            <w:shd w:val="clear" w:color="auto" w:fill="auto"/>
          </w:tcPr>
          <w:p w:rsidR="008D5AF9" w:rsidRDefault="008D5AF9" w:rsidP="008D5AF9">
            <w:pPr>
              <w:pStyle w:val="Ingenafstand"/>
              <w:contextualSpacing/>
              <w:rPr>
                <w:rFonts w:cstheme="minorHAnsi"/>
                <w:sz w:val="24"/>
                <w:szCs w:val="24"/>
                <w:lang w:val="en-US"/>
              </w:rPr>
            </w:pPr>
            <w:r w:rsidRPr="009971B6">
              <w:rPr>
                <w:rFonts w:cstheme="minorHAnsi"/>
                <w:sz w:val="24"/>
                <w:szCs w:val="24"/>
                <w:lang w:val="en-US"/>
              </w:rPr>
              <w:t xml:space="preserve">1. 5-FU creme eller cidofovir </w:t>
            </w:r>
            <w:r>
              <w:rPr>
                <w:rFonts w:cstheme="minorHAnsi"/>
                <w:sz w:val="24"/>
                <w:szCs w:val="24"/>
                <w:lang w:val="en-US"/>
              </w:rPr>
              <w:t>crème 1%</w:t>
            </w:r>
          </w:p>
          <w:p w:rsidR="008D5AF9" w:rsidRDefault="008D5AF9" w:rsidP="008D5AF9">
            <w:pPr>
              <w:pStyle w:val="Ingenafstand"/>
              <w:contextualSpacing/>
              <w:rPr>
                <w:rFonts w:cstheme="minorHAnsi"/>
                <w:sz w:val="24"/>
                <w:szCs w:val="24"/>
                <w:lang w:val="en-US"/>
              </w:rPr>
            </w:pPr>
          </w:p>
          <w:p w:rsidR="008D5AF9" w:rsidRPr="009971B6" w:rsidRDefault="008D5AF9" w:rsidP="008D5AF9">
            <w:pPr>
              <w:pStyle w:val="Ingenafstand"/>
              <w:contextualSpacing/>
              <w:rPr>
                <w:rFonts w:cstheme="minorHAnsi"/>
                <w:sz w:val="24"/>
                <w:szCs w:val="24"/>
                <w:lang w:val="en-US"/>
              </w:rPr>
            </w:pPr>
            <w:r>
              <w:rPr>
                <w:rFonts w:cstheme="minorHAnsi"/>
                <w:sz w:val="24"/>
                <w:szCs w:val="24"/>
                <w:lang w:val="en-US"/>
              </w:rPr>
              <w:t>2. CO2-laer</w:t>
            </w:r>
          </w:p>
        </w:tc>
        <w:tc>
          <w:tcPr>
            <w:tcW w:w="2640" w:type="dxa"/>
            <w:tcBorders>
              <w:top w:val="nil"/>
              <w:left w:val="nil"/>
              <w:bottom w:val="single" w:sz="4" w:space="0" w:color="auto"/>
              <w:right w:val="single" w:sz="4" w:space="0" w:color="auto"/>
            </w:tcBorders>
            <w:shd w:val="clear" w:color="auto" w:fill="auto"/>
          </w:tcPr>
          <w:p w:rsidR="008D5AF9" w:rsidRPr="009971B6" w:rsidRDefault="008D5AF9" w:rsidP="008D5AF9">
            <w:pPr>
              <w:pStyle w:val="Ingenafstand"/>
              <w:contextualSpacing/>
              <w:rPr>
                <w:rFonts w:cstheme="minorHAnsi"/>
                <w:sz w:val="24"/>
                <w:szCs w:val="24"/>
                <w:lang w:val="en-US"/>
              </w:rPr>
            </w:pPr>
          </w:p>
        </w:tc>
      </w:tr>
    </w:tbl>
    <w:p w:rsidR="008D5AF9" w:rsidRDefault="008D5AF9" w:rsidP="008D5AF9">
      <w:pPr>
        <w:pStyle w:val="Ingenafstand"/>
        <w:contextualSpacing/>
        <w:rPr>
          <w:rFonts w:cstheme="minorHAnsi"/>
        </w:rPr>
      </w:pPr>
      <w:r w:rsidRPr="003E1F62">
        <w:rPr>
          <w:rFonts w:cstheme="minorHAnsi"/>
          <w:sz w:val="24"/>
          <w:szCs w:val="24"/>
        </w:rPr>
        <w:t>¹</w:t>
      </w:r>
      <w:r w:rsidRPr="009778C9">
        <w:rPr>
          <w:rFonts w:cstheme="minorHAnsi"/>
        </w:rPr>
        <w:t>Husk enkelttilskudsansøgning til imiquimod creme 5%, skal begrundes med at tidligere behandlinger ikke har haft tilstrækkelig effekt</w:t>
      </w:r>
    </w:p>
    <w:p w:rsidR="00517214" w:rsidRDefault="00517214" w:rsidP="008D5AF9">
      <w:pPr>
        <w:pStyle w:val="Ingenafstand"/>
        <w:contextualSpacing/>
        <w:rPr>
          <w:rFonts w:cstheme="minorHAnsi"/>
        </w:rPr>
      </w:pPr>
    </w:p>
    <w:p w:rsidR="00517214" w:rsidRDefault="00517214" w:rsidP="008D5AF9">
      <w:pPr>
        <w:pStyle w:val="Ingenafstand"/>
        <w:contextualSpacing/>
        <w:rPr>
          <w:rFonts w:cstheme="minorHAnsi"/>
        </w:rPr>
      </w:pPr>
    </w:p>
    <w:p w:rsidR="00517214" w:rsidRDefault="00517214" w:rsidP="008D5AF9">
      <w:pPr>
        <w:pStyle w:val="Ingenafstand"/>
        <w:contextualSpacing/>
        <w:rPr>
          <w:rFonts w:cstheme="minorHAnsi"/>
        </w:rPr>
      </w:pPr>
    </w:p>
    <w:p w:rsidR="00517214" w:rsidRDefault="00517214" w:rsidP="008D5AF9">
      <w:pPr>
        <w:pStyle w:val="Ingenafstand"/>
        <w:contextualSpacing/>
        <w:rPr>
          <w:rFonts w:cstheme="minorHAnsi"/>
        </w:rPr>
      </w:pPr>
    </w:p>
    <w:p w:rsidR="00517214" w:rsidRDefault="00517214" w:rsidP="008D5AF9">
      <w:pPr>
        <w:pStyle w:val="Ingenafstand"/>
        <w:contextualSpacing/>
        <w:rPr>
          <w:rFonts w:cstheme="minorHAnsi"/>
        </w:rPr>
      </w:pPr>
    </w:p>
    <w:p w:rsidR="00517214" w:rsidRDefault="00517214" w:rsidP="008D5AF9">
      <w:pPr>
        <w:pStyle w:val="Ingenafstand"/>
        <w:contextualSpacing/>
        <w:rPr>
          <w:rFonts w:cstheme="minorHAnsi"/>
        </w:rPr>
      </w:pPr>
    </w:p>
    <w:p w:rsidR="00517214" w:rsidRDefault="00517214" w:rsidP="008D5AF9">
      <w:pPr>
        <w:pStyle w:val="Ingenafstand"/>
        <w:contextualSpacing/>
        <w:rPr>
          <w:rFonts w:cstheme="minorHAnsi"/>
        </w:rPr>
      </w:pPr>
    </w:p>
    <w:p w:rsidR="00517214" w:rsidRDefault="00517214" w:rsidP="008D5AF9">
      <w:pPr>
        <w:pStyle w:val="Ingenafstand"/>
        <w:contextualSpacing/>
        <w:rPr>
          <w:rFonts w:cstheme="minorHAnsi"/>
        </w:rPr>
      </w:pPr>
    </w:p>
    <w:p w:rsidR="00517214" w:rsidRDefault="00517214" w:rsidP="008D5AF9">
      <w:pPr>
        <w:pStyle w:val="Ingenafstand"/>
        <w:contextualSpacing/>
        <w:rPr>
          <w:rFonts w:cstheme="minorHAnsi"/>
        </w:rPr>
      </w:pPr>
    </w:p>
    <w:p w:rsidR="00517214" w:rsidRDefault="00517214" w:rsidP="008D5AF9">
      <w:pPr>
        <w:pStyle w:val="Ingenafstand"/>
        <w:contextualSpacing/>
        <w:rPr>
          <w:rFonts w:cstheme="minorHAnsi"/>
        </w:rPr>
      </w:pPr>
    </w:p>
    <w:p w:rsidR="00517214" w:rsidRDefault="00517214" w:rsidP="008D5AF9">
      <w:pPr>
        <w:pStyle w:val="Ingenafstand"/>
        <w:contextualSpacing/>
        <w:rPr>
          <w:rFonts w:cstheme="minorHAnsi"/>
        </w:rPr>
      </w:pPr>
    </w:p>
    <w:p w:rsidR="00517214" w:rsidRDefault="00517214" w:rsidP="008D5AF9">
      <w:pPr>
        <w:pStyle w:val="Ingenafstand"/>
        <w:contextualSpacing/>
        <w:rPr>
          <w:rFonts w:cstheme="minorHAnsi"/>
        </w:rPr>
      </w:pPr>
    </w:p>
    <w:p w:rsidR="00517214" w:rsidRDefault="00517214" w:rsidP="008D5AF9">
      <w:pPr>
        <w:pStyle w:val="Ingenafstand"/>
        <w:contextualSpacing/>
        <w:rPr>
          <w:rFonts w:cstheme="minorHAnsi"/>
        </w:rPr>
      </w:pPr>
    </w:p>
    <w:p w:rsidR="00517214" w:rsidRDefault="00517214" w:rsidP="008D5AF9">
      <w:pPr>
        <w:pStyle w:val="Ingenafstand"/>
        <w:contextualSpacing/>
        <w:rPr>
          <w:rFonts w:cstheme="minorHAnsi"/>
        </w:rPr>
      </w:pPr>
    </w:p>
    <w:p w:rsidR="00517214" w:rsidRDefault="00517214" w:rsidP="008D5AF9">
      <w:pPr>
        <w:pStyle w:val="Ingenafstand"/>
        <w:contextualSpacing/>
        <w:rPr>
          <w:rFonts w:cstheme="minorHAnsi"/>
        </w:rPr>
      </w:pPr>
    </w:p>
    <w:p w:rsidR="00517214" w:rsidRDefault="00517214" w:rsidP="008D5AF9">
      <w:pPr>
        <w:pStyle w:val="Ingenafstand"/>
        <w:contextualSpacing/>
        <w:rPr>
          <w:rFonts w:cstheme="minorHAnsi"/>
        </w:rPr>
      </w:pPr>
    </w:p>
    <w:p w:rsidR="00517214" w:rsidRDefault="00517214" w:rsidP="008D5AF9">
      <w:pPr>
        <w:pStyle w:val="Ingenafstand"/>
        <w:contextualSpacing/>
        <w:rPr>
          <w:rFonts w:cstheme="minorHAnsi"/>
        </w:rPr>
      </w:pPr>
    </w:p>
    <w:p w:rsidR="00517214" w:rsidRDefault="00517214" w:rsidP="008D5AF9">
      <w:pPr>
        <w:pStyle w:val="Ingenafstand"/>
        <w:contextualSpacing/>
        <w:rPr>
          <w:rFonts w:cstheme="minorHAnsi"/>
        </w:rPr>
      </w:pPr>
    </w:p>
    <w:p w:rsidR="00517214" w:rsidRDefault="00517214" w:rsidP="008D5AF9">
      <w:pPr>
        <w:pStyle w:val="Ingenafstand"/>
        <w:contextualSpacing/>
        <w:rPr>
          <w:rFonts w:cstheme="minorHAnsi"/>
        </w:rPr>
      </w:pPr>
    </w:p>
    <w:p w:rsidR="00517214" w:rsidRDefault="00517214" w:rsidP="008D5AF9">
      <w:pPr>
        <w:pStyle w:val="Ingenafstand"/>
        <w:contextualSpacing/>
        <w:rPr>
          <w:rFonts w:cstheme="minorHAnsi"/>
        </w:rPr>
      </w:pPr>
    </w:p>
    <w:p w:rsidR="00517214" w:rsidRDefault="00517214" w:rsidP="008D5AF9">
      <w:pPr>
        <w:pStyle w:val="Ingenafstand"/>
        <w:contextualSpacing/>
        <w:rPr>
          <w:rFonts w:cstheme="minorHAnsi"/>
        </w:rPr>
      </w:pPr>
    </w:p>
    <w:p w:rsidR="00517214" w:rsidRPr="009778C9" w:rsidRDefault="00517214" w:rsidP="008D5AF9">
      <w:pPr>
        <w:pStyle w:val="Ingenafstand"/>
        <w:contextualSpacing/>
        <w:rPr>
          <w:rFonts w:cstheme="minorHAnsi"/>
        </w:rPr>
      </w:pPr>
    </w:p>
    <w:p w:rsidR="008D5AF9" w:rsidRDefault="008D5AF9" w:rsidP="008D5AF9">
      <w:pPr>
        <w:pStyle w:val="Ingenafstand"/>
        <w:contextualSpacing/>
      </w:pPr>
    </w:p>
    <w:tbl>
      <w:tblPr>
        <w:tblStyle w:val="Tabel-Gitter"/>
        <w:tblW w:w="0" w:type="auto"/>
        <w:tblLook w:val="04A0" w:firstRow="1" w:lastRow="0" w:firstColumn="1" w:lastColumn="0" w:noHBand="0" w:noVBand="1"/>
      </w:tblPr>
      <w:tblGrid>
        <w:gridCol w:w="2407"/>
        <w:gridCol w:w="2407"/>
        <w:gridCol w:w="2407"/>
        <w:gridCol w:w="2407"/>
      </w:tblGrid>
      <w:tr w:rsidR="008D5AF9" w:rsidTr="008D5AF9">
        <w:tc>
          <w:tcPr>
            <w:tcW w:w="9628" w:type="dxa"/>
            <w:gridSpan w:val="4"/>
            <w:tcBorders>
              <w:bottom w:val="single" w:sz="4" w:space="0" w:color="auto"/>
            </w:tcBorders>
          </w:tcPr>
          <w:p w:rsidR="008D5AF9" w:rsidRDefault="008D5AF9" w:rsidP="008D5AF9">
            <w:pPr>
              <w:rPr>
                <w:sz w:val="24"/>
                <w:szCs w:val="24"/>
              </w:rPr>
            </w:pPr>
            <w:r w:rsidRPr="00977072">
              <w:rPr>
                <w:b/>
                <w:bCs/>
                <w:sz w:val="24"/>
                <w:szCs w:val="24"/>
              </w:rPr>
              <w:t>Tabel 1</w:t>
            </w:r>
            <w:r>
              <w:rPr>
                <w:b/>
                <w:bCs/>
                <w:sz w:val="24"/>
                <w:szCs w:val="24"/>
              </w:rPr>
              <w:t>3</w:t>
            </w:r>
            <w:r>
              <w:rPr>
                <w:sz w:val="24"/>
                <w:szCs w:val="24"/>
              </w:rPr>
              <w:t xml:space="preserve">   Algoritme vedrørende kondylombehandling ved særlige forhold (Modificeret fra Larsen et al. </w:t>
            </w:r>
            <w:r>
              <w:rPr>
                <w:noProof/>
                <w:sz w:val="24"/>
                <w:szCs w:val="24"/>
              </w:rPr>
              <w:t>(72)</w:t>
            </w:r>
            <w:r w:rsidR="009029E7">
              <w:rPr>
                <w:noProof/>
                <w:sz w:val="24"/>
                <w:szCs w:val="24"/>
              </w:rPr>
              <w:t>)</w:t>
            </w:r>
          </w:p>
          <w:p w:rsidR="008D5AF9" w:rsidRDefault="008D5AF9" w:rsidP="008D5AF9">
            <w:pPr>
              <w:rPr>
                <w:sz w:val="24"/>
                <w:szCs w:val="24"/>
              </w:rPr>
            </w:pPr>
          </w:p>
        </w:tc>
      </w:tr>
      <w:tr w:rsidR="008D5AF9" w:rsidTr="008D5AF9">
        <w:tc>
          <w:tcPr>
            <w:tcW w:w="2407" w:type="dxa"/>
            <w:tcBorders>
              <w:top w:val="single" w:sz="4" w:space="0" w:color="auto"/>
              <w:left w:val="single" w:sz="4" w:space="0" w:color="auto"/>
              <w:bottom w:val="single" w:sz="4" w:space="0" w:color="auto"/>
              <w:right w:val="nil"/>
            </w:tcBorders>
          </w:tcPr>
          <w:p w:rsidR="008D5AF9" w:rsidRDefault="008D5AF9" w:rsidP="008D5AF9">
            <w:pPr>
              <w:rPr>
                <w:sz w:val="24"/>
                <w:szCs w:val="24"/>
              </w:rPr>
            </w:pPr>
            <w:r>
              <w:rPr>
                <w:sz w:val="24"/>
                <w:szCs w:val="24"/>
              </w:rPr>
              <w:t>Graviditet og amning</w:t>
            </w:r>
          </w:p>
        </w:tc>
        <w:tc>
          <w:tcPr>
            <w:tcW w:w="2407" w:type="dxa"/>
            <w:tcBorders>
              <w:top w:val="single" w:sz="4" w:space="0" w:color="auto"/>
              <w:left w:val="nil"/>
              <w:bottom w:val="single" w:sz="4" w:space="0" w:color="auto"/>
              <w:right w:val="nil"/>
            </w:tcBorders>
          </w:tcPr>
          <w:p w:rsidR="008D5AF9" w:rsidRDefault="008D5AF9" w:rsidP="008D5AF9">
            <w:pPr>
              <w:rPr>
                <w:sz w:val="24"/>
                <w:szCs w:val="24"/>
              </w:rPr>
            </w:pPr>
            <w:r>
              <w:rPr>
                <w:sz w:val="24"/>
                <w:szCs w:val="24"/>
              </w:rPr>
              <w:t>Cervikale eller intravaginale kondylomer</w:t>
            </w:r>
          </w:p>
        </w:tc>
        <w:tc>
          <w:tcPr>
            <w:tcW w:w="2407" w:type="dxa"/>
            <w:tcBorders>
              <w:top w:val="single" w:sz="4" w:space="0" w:color="auto"/>
              <w:left w:val="nil"/>
              <w:bottom w:val="single" w:sz="4" w:space="0" w:color="auto"/>
              <w:right w:val="nil"/>
            </w:tcBorders>
          </w:tcPr>
          <w:p w:rsidR="008D5AF9" w:rsidRDefault="008D5AF9" w:rsidP="008D5AF9">
            <w:pPr>
              <w:rPr>
                <w:sz w:val="24"/>
                <w:szCs w:val="24"/>
              </w:rPr>
            </w:pPr>
            <w:r>
              <w:rPr>
                <w:sz w:val="24"/>
                <w:szCs w:val="24"/>
              </w:rPr>
              <w:t>Meatus urethra kondylomer</w:t>
            </w:r>
          </w:p>
        </w:tc>
        <w:tc>
          <w:tcPr>
            <w:tcW w:w="2407" w:type="dxa"/>
            <w:tcBorders>
              <w:top w:val="single" w:sz="4" w:space="0" w:color="auto"/>
              <w:left w:val="nil"/>
              <w:bottom w:val="single" w:sz="4" w:space="0" w:color="auto"/>
              <w:right w:val="single" w:sz="4" w:space="0" w:color="auto"/>
            </w:tcBorders>
          </w:tcPr>
          <w:p w:rsidR="008D5AF9" w:rsidRDefault="008D5AF9" w:rsidP="008D5AF9">
            <w:pPr>
              <w:rPr>
                <w:sz w:val="24"/>
                <w:szCs w:val="24"/>
              </w:rPr>
            </w:pPr>
            <w:r>
              <w:rPr>
                <w:sz w:val="24"/>
                <w:szCs w:val="24"/>
              </w:rPr>
              <w:t>Intraanale kondylomer</w:t>
            </w:r>
          </w:p>
        </w:tc>
      </w:tr>
      <w:tr w:rsidR="008D5AF9" w:rsidTr="008D5AF9">
        <w:tc>
          <w:tcPr>
            <w:tcW w:w="2407" w:type="dxa"/>
            <w:tcBorders>
              <w:top w:val="single" w:sz="4" w:space="0" w:color="auto"/>
              <w:left w:val="single" w:sz="4" w:space="0" w:color="auto"/>
              <w:bottom w:val="nil"/>
              <w:right w:val="nil"/>
            </w:tcBorders>
          </w:tcPr>
          <w:p w:rsidR="008D5AF9" w:rsidRDefault="008D5AF9" w:rsidP="008D5AF9">
            <w:pPr>
              <w:rPr>
                <w:sz w:val="24"/>
                <w:szCs w:val="24"/>
              </w:rPr>
            </w:pPr>
            <w:r>
              <w:rPr>
                <w:sz w:val="24"/>
                <w:szCs w:val="24"/>
              </w:rPr>
              <w:t>Imiquimod og podofyllotoxin kontraindiceret</w:t>
            </w:r>
          </w:p>
        </w:tc>
        <w:tc>
          <w:tcPr>
            <w:tcW w:w="2407" w:type="dxa"/>
            <w:tcBorders>
              <w:top w:val="single" w:sz="4" w:space="0" w:color="auto"/>
              <w:left w:val="nil"/>
              <w:bottom w:val="nil"/>
              <w:right w:val="nil"/>
            </w:tcBorders>
          </w:tcPr>
          <w:p w:rsidR="008D5AF9" w:rsidRDefault="008D5AF9" w:rsidP="008D5AF9">
            <w:pPr>
              <w:rPr>
                <w:sz w:val="24"/>
                <w:szCs w:val="24"/>
              </w:rPr>
            </w:pPr>
            <w:r>
              <w:rPr>
                <w:sz w:val="24"/>
                <w:szCs w:val="24"/>
              </w:rPr>
              <w:t>Henvises til gynækololgisk regi</w:t>
            </w:r>
          </w:p>
        </w:tc>
        <w:tc>
          <w:tcPr>
            <w:tcW w:w="2407" w:type="dxa"/>
            <w:tcBorders>
              <w:top w:val="single" w:sz="4" w:space="0" w:color="auto"/>
              <w:left w:val="nil"/>
              <w:bottom w:val="nil"/>
              <w:right w:val="nil"/>
            </w:tcBorders>
          </w:tcPr>
          <w:p w:rsidR="008D5AF9" w:rsidRDefault="008D5AF9" w:rsidP="008D5AF9">
            <w:pPr>
              <w:rPr>
                <w:sz w:val="24"/>
                <w:szCs w:val="24"/>
              </w:rPr>
            </w:pPr>
            <w:r>
              <w:rPr>
                <w:sz w:val="24"/>
                <w:szCs w:val="24"/>
              </w:rPr>
              <w:t>Hvis øvre grænse kan ses, evt. som i tabel 11 under ”få papuløse”</w:t>
            </w:r>
          </w:p>
        </w:tc>
        <w:tc>
          <w:tcPr>
            <w:tcW w:w="2407" w:type="dxa"/>
            <w:tcBorders>
              <w:top w:val="single" w:sz="4" w:space="0" w:color="auto"/>
              <w:left w:val="nil"/>
              <w:bottom w:val="nil"/>
              <w:right w:val="single" w:sz="4" w:space="0" w:color="auto"/>
            </w:tcBorders>
          </w:tcPr>
          <w:p w:rsidR="008D5AF9" w:rsidRDefault="008D5AF9" w:rsidP="008D5AF9">
            <w:pPr>
              <w:rPr>
                <w:sz w:val="24"/>
                <w:szCs w:val="24"/>
              </w:rPr>
            </w:pPr>
            <w:r>
              <w:rPr>
                <w:sz w:val="24"/>
                <w:szCs w:val="24"/>
              </w:rPr>
              <w:t>Som i tabel 11 under ”moderat udbredte”, dog TCA 80-90% og ikke kryobehandling</w:t>
            </w:r>
          </w:p>
          <w:p w:rsidR="008D5AF9" w:rsidRDefault="008D5AF9" w:rsidP="008D5AF9">
            <w:pPr>
              <w:rPr>
                <w:sz w:val="24"/>
                <w:szCs w:val="24"/>
              </w:rPr>
            </w:pPr>
          </w:p>
        </w:tc>
      </w:tr>
      <w:tr w:rsidR="008D5AF9" w:rsidRPr="00F94D9B" w:rsidTr="008D5AF9">
        <w:tc>
          <w:tcPr>
            <w:tcW w:w="2407" w:type="dxa"/>
            <w:tcBorders>
              <w:top w:val="nil"/>
              <w:left w:val="single" w:sz="4" w:space="0" w:color="auto"/>
              <w:bottom w:val="single" w:sz="4" w:space="0" w:color="auto"/>
              <w:right w:val="nil"/>
            </w:tcBorders>
          </w:tcPr>
          <w:p w:rsidR="008D5AF9" w:rsidRPr="00F94D9B" w:rsidRDefault="008D5AF9" w:rsidP="008D5AF9">
            <w:pPr>
              <w:rPr>
                <w:sz w:val="24"/>
                <w:szCs w:val="24"/>
              </w:rPr>
            </w:pPr>
            <w:r w:rsidRPr="00F94D9B">
              <w:rPr>
                <w:sz w:val="24"/>
                <w:szCs w:val="24"/>
              </w:rPr>
              <w:t>Kryo, TCA 80-90% samt CO2-laser ka</w:t>
            </w:r>
            <w:r>
              <w:rPr>
                <w:sz w:val="24"/>
                <w:szCs w:val="24"/>
              </w:rPr>
              <w:t>n anvendes</w:t>
            </w:r>
          </w:p>
        </w:tc>
        <w:tc>
          <w:tcPr>
            <w:tcW w:w="2407" w:type="dxa"/>
            <w:tcBorders>
              <w:top w:val="nil"/>
              <w:left w:val="nil"/>
              <w:bottom w:val="single" w:sz="4" w:space="0" w:color="auto"/>
              <w:right w:val="nil"/>
            </w:tcBorders>
          </w:tcPr>
          <w:p w:rsidR="008D5AF9" w:rsidRPr="00F94D9B" w:rsidRDefault="008D5AF9" w:rsidP="008D5AF9">
            <w:pPr>
              <w:rPr>
                <w:sz w:val="24"/>
                <w:szCs w:val="24"/>
              </w:rPr>
            </w:pPr>
          </w:p>
        </w:tc>
        <w:tc>
          <w:tcPr>
            <w:tcW w:w="2407" w:type="dxa"/>
            <w:tcBorders>
              <w:top w:val="nil"/>
              <w:left w:val="nil"/>
              <w:bottom w:val="single" w:sz="4" w:space="0" w:color="auto"/>
              <w:right w:val="nil"/>
            </w:tcBorders>
          </w:tcPr>
          <w:p w:rsidR="008D5AF9" w:rsidRPr="00F94D9B" w:rsidRDefault="008D5AF9" w:rsidP="008D5AF9">
            <w:pPr>
              <w:rPr>
                <w:sz w:val="24"/>
                <w:szCs w:val="24"/>
              </w:rPr>
            </w:pPr>
            <w:r>
              <w:rPr>
                <w:sz w:val="24"/>
                <w:szCs w:val="24"/>
              </w:rPr>
              <w:t>Hvis øvre grænse ikke kan ses eller der er delt stråle ved vandladning, henvisning til urologisk regi</w:t>
            </w:r>
          </w:p>
        </w:tc>
        <w:tc>
          <w:tcPr>
            <w:tcW w:w="2407" w:type="dxa"/>
            <w:tcBorders>
              <w:top w:val="nil"/>
              <w:left w:val="nil"/>
              <w:bottom w:val="single" w:sz="4" w:space="0" w:color="auto"/>
              <w:right w:val="single" w:sz="4" w:space="0" w:color="auto"/>
            </w:tcBorders>
          </w:tcPr>
          <w:p w:rsidR="008D5AF9" w:rsidRPr="00F94D9B" w:rsidRDefault="008D5AF9" w:rsidP="008D5AF9">
            <w:pPr>
              <w:rPr>
                <w:sz w:val="24"/>
                <w:szCs w:val="24"/>
              </w:rPr>
            </w:pPr>
            <w:r>
              <w:rPr>
                <w:sz w:val="24"/>
                <w:szCs w:val="24"/>
              </w:rPr>
              <w:t>Hvis ej effekt, henvisning venerologisk eller gastroenterologisk kirurgisk afdeling</w:t>
            </w:r>
          </w:p>
        </w:tc>
      </w:tr>
    </w:tbl>
    <w:p w:rsidR="008D5AF9" w:rsidRDefault="008D5AF9" w:rsidP="008D5AF9">
      <w:pPr>
        <w:pStyle w:val="Ingenafstand"/>
        <w:contextualSpacing/>
      </w:pPr>
      <w:r>
        <w:t>TCA; Trichloreddikesyre</w:t>
      </w:r>
    </w:p>
    <w:p w:rsidR="008D5AF9" w:rsidRDefault="008D5AF9" w:rsidP="008D5AF9">
      <w:pPr>
        <w:pStyle w:val="Ingenafstand"/>
        <w:contextualSpacing/>
        <w:rPr>
          <w:sz w:val="18"/>
          <w:szCs w:val="18"/>
        </w:rPr>
      </w:pPr>
    </w:p>
    <w:p w:rsidR="008D5AF9" w:rsidRPr="00EB3D44" w:rsidRDefault="008D5AF9" w:rsidP="008D5AF9">
      <w:pPr>
        <w:rPr>
          <w:sz w:val="24"/>
          <w:szCs w:val="24"/>
        </w:rPr>
      </w:pPr>
      <w:r w:rsidRPr="00EB3D44">
        <w:rPr>
          <w:sz w:val="24"/>
          <w:szCs w:val="24"/>
        </w:rPr>
        <w:t>Immunsuppression øger risikoen for kondylomer og recidiv heraf, men behandlingen er den samme som for immunkompetente. Kvaliteten af evidens er dog betydelig lavere</w:t>
      </w:r>
      <w:r>
        <w:rPr>
          <w:sz w:val="24"/>
          <w:szCs w:val="24"/>
        </w:rPr>
        <w:t xml:space="preserve"> </w:t>
      </w:r>
      <w:r>
        <w:rPr>
          <w:noProof/>
          <w:sz w:val="24"/>
          <w:szCs w:val="24"/>
        </w:rPr>
        <w:t>(73)</w:t>
      </w:r>
      <w:r>
        <w:rPr>
          <w:sz w:val="24"/>
          <w:szCs w:val="24"/>
        </w:rPr>
        <w:t>.</w:t>
      </w:r>
    </w:p>
    <w:p w:rsidR="008D5AF9" w:rsidRPr="00EB3D44" w:rsidRDefault="008D5AF9" w:rsidP="008D5AF9">
      <w:pPr>
        <w:rPr>
          <w:i/>
          <w:iCs/>
          <w:sz w:val="24"/>
          <w:szCs w:val="24"/>
        </w:rPr>
      </w:pPr>
      <w:r w:rsidRPr="00EB3D44">
        <w:rPr>
          <w:i/>
          <w:iCs/>
          <w:sz w:val="24"/>
          <w:szCs w:val="24"/>
        </w:rPr>
        <w:t>Sammenligning af behandlingsmodaliteter</w:t>
      </w:r>
    </w:p>
    <w:p w:rsidR="008D5AF9" w:rsidRPr="00EB3D44" w:rsidRDefault="008D5AF9" w:rsidP="008D5AF9">
      <w:pPr>
        <w:rPr>
          <w:sz w:val="24"/>
          <w:szCs w:val="24"/>
        </w:rPr>
      </w:pPr>
      <w:r w:rsidRPr="00EB3D44">
        <w:rPr>
          <w:sz w:val="24"/>
          <w:szCs w:val="24"/>
        </w:rPr>
        <w:t xml:space="preserve">Generelt er ablative behandlinger, især CO2-laser, forbundet med </w:t>
      </w:r>
      <w:r>
        <w:rPr>
          <w:sz w:val="24"/>
          <w:szCs w:val="24"/>
        </w:rPr>
        <w:t xml:space="preserve">en </w:t>
      </w:r>
      <w:r w:rsidRPr="00EB3D44">
        <w:rPr>
          <w:sz w:val="24"/>
          <w:szCs w:val="24"/>
        </w:rPr>
        <w:t>højere sandsynlighed for</w:t>
      </w:r>
      <w:r>
        <w:rPr>
          <w:sz w:val="24"/>
          <w:szCs w:val="24"/>
        </w:rPr>
        <w:t xml:space="preserve"> </w:t>
      </w:r>
      <w:r w:rsidRPr="00EB3D44">
        <w:rPr>
          <w:sz w:val="24"/>
          <w:szCs w:val="24"/>
        </w:rPr>
        <w:t xml:space="preserve">clearance af kondylomer end </w:t>
      </w:r>
      <w:r>
        <w:rPr>
          <w:sz w:val="24"/>
          <w:szCs w:val="24"/>
        </w:rPr>
        <w:t xml:space="preserve">de </w:t>
      </w:r>
      <w:r w:rsidRPr="00EB3D44">
        <w:rPr>
          <w:sz w:val="24"/>
          <w:szCs w:val="24"/>
        </w:rPr>
        <w:t>topikale behandlinger. Et systematisk review fra 2016 fandt at CO2-laser</w:t>
      </w:r>
      <w:r>
        <w:rPr>
          <w:sz w:val="24"/>
          <w:szCs w:val="24"/>
        </w:rPr>
        <w:t xml:space="preserve"> behandling</w:t>
      </w:r>
      <w:r w:rsidRPr="00EB3D44">
        <w:rPr>
          <w:sz w:val="24"/>
          <w:szCs w:val="24"/>
        </w:rPr>
        <w:t xml:space="preserve"> var signifikant mere effektiv end imiquimod 5%, TCA og kryoterapi, mens podofyllotoksin creme 0,5% var signifikant mere effektiv end TCA</w:t>
      </w:r>
      <w:r>
        <w:rPr>
          <w:sz w:val="24"/>
          <w:szCs w:val="24"/>
        </w:rPr>
        <w:t xml:space="preserve"> </w:t>
      </w:r>
      <w:r>
        <w:rPr>
          <w:noProof/>
          <w:sz w:val="24"/>
          <w:szCs w:val="24"/>
        </w:rPr>
        <w:t>(61)</w:t>
      </w:r>
      <w:r>
        <w:rPr>
          <w:sz w:val="24"/>
          <w:szCs w:val="24"/>
        </w:rPr>
        <w:t>.</w:t>
      </w:r>
      <w:r w:rsidRPr="00EB3D44">
        <w:rPr>
          <w:sz w:val="24"/>
          <w:szCs w:val="24"/>
        </w:rPr>
        <w:t xml:space="preserve"> </w:t>
      </w:r>
    </w:p>
    <w:p w:rsidR="008D5AF9" w:rsidRPr="00EB3D44" w:rsidRDefault="008D5AF9" w:rsidP="008D5AF9">
      <w:pPr>
        <w:rPr>
          <w:rFonts w:cstheme="minorHAnsi"/>
          <w:b/>
          <w:bCs/>
          <w:sz w:val="24"/>
          <w:szCs w:val="24"/>
        </w:rPr>
      </w:pPr>
      <w:r w:rsidRPr="00EB3D44">
        <w:rPr>
          <w:rFonts w:cstheme="minorHAnsi"/>
          <w:b/>
          <w:bCs/>
          <w:sz w:val="24"/>
          <w:szCs w:val="24"/>
        </w:rPr>
        <w:t>Smitteopsporing og partnerbehandling</w:t>
      </w:r>
    </w:p>
    <w:p w:rsidR="008D5AF9" w:rsidRPr="00EB3D44" w:rsidRDefault="008D5AF9" w:rsidP="008D5AF9">
      <w:pPr>
        <w:rPr>
          <w:rFonts w:cstheme="minorHAnsi"/>
          <w:sz w:val="24"/>
          <w:szCs w:val="24"/>
        </w:rPr>
      </w:pPr>
      <w:r w:rsidRPr="00EB3D44">
        <w:rPr>
          <w:rFonts w:cstheme="minorHAnsi"/>
          <w:sz w:val="24"/>
          <w:szCs w:val="24"/>
        </w:rPr>
        <w:t>Screening for andre kønssygdomme anbefales ved første besøg, da det estimeres at ca. 20% af personer med kondylomer samtidig har en anden kønssygdom</w:t>
      </w:r>
      <w:r>
        <w:rPr>
          <w:rFonts w:cstheme="minorHAnsi"/>
          <w:sz w:val="24"/>
          <w:szCs w:val="24"/>
        </w:rPr>
        <w:t xml:space="preserve"> </w:t>
      </w:r>
      <w:r>
        <w:rPr>
          <w:rFonts w:cstheme="minorHAnsi"/>
          <w:noProof/>
          <w:sz w:val="24"/>
          <w:szCs w:val="24"/>
        </w:rPr>
        <w:t>(61)</w:t>
      </w:r>
      <w:r>
        <w:rPr>
          <w:rFonts w:cstheme="minorHAnsi"/>
          <w:sz w:val="24"/>
          <w:szCs w:val="24"/>
        </w:rPr>
        <w:t>.</w:t>
      </w:r>
      <w:r w:rsidRPr="00EB3D44">
        <w:rPr>
          <w:rFonts w:cstheme="minorHAnsi"/>
          <w:sz w:val="24"/>
          <w:szCs w:val="24"/>
        </w:rPr>
        <w:t xml:space="preserve"> Smitteopsporing anbefales ikke, men undersøgelse af fast partner bør overvejes og kvinder bør opfordres til at følge screeningsprogrammet for livmoderhalskræft. </w:t>
      </w:r>
    </w:p>
    <w:p w:rsidR="008D5AF9" w:rsidRPr="00EB3D44" w:rsidRDefault="008D5AF9" w:rsidP="008D5AF9">
      <w:pPr>
        <w:rPr>
          <w:rFonts w:cstheme="minorHAnsi"/>
          <w:b/>
          <w:bCs/>
          <w:sz w:val="24"/>
          <w:szCs w:val="24"/>
        </w:rPr>
      </w:pPr>
      <w:r w:rsidRPr="00EB3D44">
        <w:rPr>
          <w:rFonts w:cstheme="minorHAnsi"/>
          <w:b/>
          <w:bCs/>
          <w:sz w:val="24"/>
          <w:szCs w:val="24"/>
        </w:rPr>
        <w:t>Forebyggelse</w:t>
      </w:r>
    </w:p>
    <w:p w:rsidR="008D5AF9" w:rsidRPr="00EB3D44" w:rsidRDefault="008D5AF9" w:rsidP="008D5AF9">
      <w:pPr>
        <w:rPr>
          <w:rFonts w:cstheme="minorHAnsi"/>
          <w:i/>
          <w:iCs/>
          <w:sz w:val="24"/>
          <w:szCs w:val="24"/>
        </w:rPr>
      </w:pPr>
      <w:r w:rsidRPr="00EB3D44">
        <w:rPr>
          <w:rFonts w:cstheme="minorHAnsi"/>
          <w:i/>
          <w:iCs/>
          <w:sz w:val="24"/>
          <w:szCs w:val="24"/>
        </w:rPr>
        <w:t>Kondom</w:t>
      </w:r>
    </w:p>
    <w:p w:rsidR="008D5AF9" w:rsidRPr="00EB3D44" w:rsidRDefault="008D5AF9" w:rsidP="008D5AF9">
      <w:pPr>
        <w:rPr>
          <w:rFonts w:cstheme="minorHAnsi"/>
          <w:sz w:val="24"/>
          <w:szCs w:val="24"/>
        </w:rPr>
      </w:pPr>
      <w:r>
        <w:rPr>
          <w:rFonts w:cstheme="minorHAnsi"/>
          <w:sz w:val="24"/>
          <w:szCs w:val="24"/>
        </w:rPr>
        <w:t>Det</w:t>
      </w:r>
      <w:r w:rsidRPr="00EB3D44">
        <w:rPr>
          <w:rFonts w:cstheme="minorHAnsi"/>
          <w:sz w:val="24"/>
          <w:szCs w:val="24"/>
        </w:rPr>
        <w:t xml:space="preserve"> tyder på</w:t>
      </w:r>
      <w:r>
        <w:rPr>
          <w:rFonts w:cstheme="minorHAnsi"/>
          <w:sz w:val="24"/>
          <w:szCs w:val="24"/>
        </w:rPr>
        <w:t>,</w:t>
      </w:r>
      <w:r w:rsidRPr="00EB3D44">
        <w:rPr>
          <w:rFonts w:cstheme="minorHAnsi"/>
          <w:sz w:val="24"/>
          <w:szCs w:val="24"/>
        </w:rPr>
        <w:t xml:space="preserve"> at </w:t>
      </w:r>
      <w:r>
        <w:rPr>
          <w:rFonts w:cstheme="minorHAnsi"/>
          <w:sz w:val="24"/>
          <w:szCs w:val="24"/>
        </w:rPr>
        <w:t xml:space="preserve">konsekvent anvendelse af </w:t>
      </w:r>
      <w:r w:rsidRPr="00EB3D44">
        <w:rPr>
          <w:rFonts w:cstheme="minorHAnsi"/>
          <w:sz w:val="24"/>
          <w:szCs w:val="24"/>
        </w:rPr>
        <w:t xml:space="preserve">kondom giver delvis beskyttelse mod kondylomer </w:t>
      </w:r>
      <w:r>
        <w:rPr>
          <w:rFonts w:cstheme="minorHAnsi"/>
          <w:noProof/>
          <w:sz w:val="24"/>
          <w:szCs w:val="24"/>
        </w:rPr>
        <w:t>(74, 75)</w:t>
      </w:r>
      <w:r>
        <w:rPr>
          <w:rFonts w:cstheme="minorHAnsi"/>
          <w:sz w:val="24"/>
          <w:szCs w:val="24"/>
        </w:rPr>
        <w:t>.</w:t>
      </w:r>
      <w:r w:rsidRPr="00EB3D44">
        <w:rPr>
          <w:rFonts w:cstheme="minorHAnsi"/>
          <w:sz w:val="24"/>
          <w:szCs w:val="24"/>
        </w:rPr>
        <w:t xml:space="preserve"> Hvorvidt </w:t>
      </w:r>
      <w:r>
        <w:rPr>
          <w:rFonts w:cstheme="minorHAnsi"/>
          <w:sz w:val="24"/>
          <w:szCs w:val="24"/>
        </w:rPr>
        <w:t xml:space="preserve">anvendelse af </w:t>
      </w:r>
      <w:r w:rsidRPr="00EB3D44">
        <w:rPr>
          <w:rFonts w:cstheme="minorHAnsi"/>
          <w:sz w:val="24"/>
          <w:szCs w:val="24"/>
        </w:rPr>
        <w:t>kondom også beskytter mod HPV-infektion er fortsat usikkert, men HPV prævalensen ser ud til at være lavere blandt mænd</w:t>
      </w:r>
      <w:r>
        <w:rPr>
          <w:rFonts w:cstheme="minorHAnsi"/>
          <w:sz w:val="24"/>
          <w:szCs w:val="24"/>
        </w:rPr>
        <w:t>,</w:t>
      </w:r>
      <w:r w:rsidRPr="00EB3D44">
        <w:rPr>
          <w:rFonts w:cstheme="minorHAnsi"/>
          <w:sz w:val="24"/>
          <w:szCs w:val="24"/>
        </w:rPr>
        <w:t xml:space="preserve"> der konsekvent bruger kondom</w:t>
      </w:r>
      <w:r>
        <w:rPr>
          <w:rFonts w:cstheme="minorHAnsi"/>
          <w:sz w:val="24"/>
          <w:szCs w:val="24"/>
        </w:rPr>
        <w:t xml:space="preserve"> </w:t>
      </w:r>
      <w:r>
        <w:rPr>
          <w:rFonts w:cstheme="minorHAnsi"/>
          <w:noProof/>
          <w:sz w:val="24"/>
          <w:szCs w:val="24"/>
        </w:rPr>
        <w:t>(76)</w:t>
      </w:r>
      <w:r w:rsidRPr="00EB3D44">
        <w:rPr>
          <w:rFonts w:cstheme="minorHAnsi"/>
          <w:sz w:val="24"/>
          <w:szCs w:val="24"/>
        </w:rPr>
        <w:t>, og det har kunne påvises at kvinden beskyttes mod HPV infektion hvis manden bruger kondom</w:t>
      </w:r>
      <w:r>
        <w:rPr>
          <w:rFonts w:cstheme="minorHAnsi"/>
          <w:sz w:val="24"/>
          <w:szCs w:val="24"/>
        </w:rPr>
        <w:t xml:space="preserve"> </w:t>
      </w:r>
      <w:r>
        <w:rPr>
          <w:rFonts w:cstheme="minorHAnsi"/>
          <w:noProof/>
          <w:sz w:val="24"/>
          <w:szCs w:val="24"/>
        </w:rPr>
        <w:t>(77)</w:t>
      </w:r>
      <w:r w:rsidRPr="00EB3D44">
        <w:rPr>
          <w:rFonts w:cstheme="minorHAnsi"/>
          <w:sz w:val="24"/>
          <w:szCs w:val="24"/>
        </w:rPr>
        <w:t xml:space="preserve">. Vi anbefaler brug af kondom indtil </w:t>
      </w:r>
      <w:r>
        <w:rPr>
          <w:rFonts w:cstheme="minorHAnsi"/>
          <w:sz w:val="24"/>
          <w:szCs w:val="24"/>
        </w:rPr>
        <w:t xml:space="preserve">synlige </w:t>
      </w:r>
      <w:r w:rsidRPr="00EB3D44">
        <w:rPr>
          <w:rFonts w:cstheme="minorHAnsi"/>
          <w:sz w:val="24"/>
          <w:szCs w:val="24"/>
        </w:rPr>
        <w:t>kondylomer er væk.</w:t>
      </w:r>
    </w:p>
    <w:p w:rsidR="008D5AF9" w:rsidRPr="00EB3D44" w:rsidRDefault="008D5AF9" w:rsidP="008D5AF9">
      <w:pPr>
        <w:rPr>
          <w:rFonts w:cstheme="minorHAnsi"/>
          <w:i/>
          <w:iCs/>
          <w:sz w:val="24"/>
          <w:szCs w:val="24"/>
        </w:rPr>
      </w:pPr>
      <w:r w:rsidRPr="00EB3D44">
        <w:rPr>
          <w:rFonts w:cstheme="minorHAnsi"/>
          <w:i/>
          <w:iCs/>
          <w:sz w:val="24"/>
          <w:szCs w:val="24"/>
        </w:rPr>
        <w:t>Rygning</w:t>
      </w:r>
    </w:p>
    <w:p w:rsidR="008D5AF9" w:rsidRPr="00EB3D44" w:rsidRDefault="008D5AF9" w:rsidP="008D5AF9">
      <w:pPr>
        <w:rPr>
          <w:rFonts w:cstheme="minorHAnsi"/>
          <w:sz w:val="24"/>
          <w:szCs w:val="24"/>
        </w:rPr>
      </w:pPr>
      <w:r w:rsidRPr="00EB3D44">
        <w:rPr>
          <w:rFonts w:cstheme="minorHAnsi"/>
          <w:sz w:val="24"/>
          <w:szCs w:val="24"/>
        </w:rPr>
        <w:t>Rygning øger risikoen for persisterende HPV-infektion og for kondylomer, så selvom det ikke er bevist at rygestop forkorter behandlingstiden, bør rygestop anbefales</w:t>
      </w:r>
      <w:r>
        <w:rPr>
          <w:rFonts w:cstheme="minorHAnsi"/>
          <w:sz w:val="24"/>
          <w:szCs w:val="24"/>
        </w:rPr>
        <w:t xml:space="preserve"> </w:t>
      </w:r>
      <w:r>
        <w:rPr>
          <w:rFonts w:cstheme="minorHAnsi"/>
          <w:noProof/>
          <w:sz w:val="24"/>
          <w:szCs w:val="24"/>
        </w:rPr>
        <w:t>(78, 79)</w:t>
      </w:r>
      <w:r w:rsidRPr="00EB3D44">
        <w:rPr>
          <w:rFonts w:cstheme="minorHAnsi"/>
          <w:sz w:val="24"/>
          <w:szCs w:val="24"/>
        </w:rPr>
        <w:t xml:space="preserve">. </w:t>
      </w:r>
    </w:p>
    <w:p w:rsidR="008D5AF9" w:rsidRPr="00EB3D44" w:rsidRDefault="008D5AF9" w:rsidP="008D5AF9">
      <w:pPr>
        <w:rPr>
          <w:rFonts w:cstheme="minorHAnsi"/>
          <w:i/>
          <w:iCs/>
          <w:sz w:val="24"/>
          <w:szCs w:val="24"/>
        </w:rPr>
      </w:pPr>
      <w:r w:rsidRPr="00EB3D44">
        <w:rPr>
          <w:rFonts w:cstheme="minorHAnsi"/>
          <w:i/>
          <w:iCs/>
          <w:sz w:val="24"/>
          <w:szCs w:val="24"/>
        </w:rPr>
        <w:t xml:space="preserve">HPV Vaccination </w:t>
      </w:r>
    </w:p>
    <w:p w:rsidR="008D5AF9" w:rsidRPr="00EB3D44" w:rsidRDefault="008D5AF9" w:rsidP="008D5AF9">
      <w:pPr>
        <w:rPr>
          <w:rFonts w:cstheme="minorHAnsi"/>
          <w:sz w:val="24"/>
          <w:szCs w:val="24"/>
        </w:rPr>
      </w:pPr>
      <w:r w:rsidRPr="00EB3D44">
        <w:rPr>
          <w:rFonts w:cstheme="minorHAnsi"/>
          <w:color w:val="000000"/>
          <w:sz w:val="24"/>
          <w:szCs w:val="24"/>
          <w:shd w:val="clear" w:color="auto" w:fill="FFFFFF"/>
        </w:rPr>
        <w:t>Der findes tre vacciner mod HPV; en bivalent (Cervarix, HPV16/18), en 4-valent (Gardasil</w:t>
      </w:r>
      <w:r w:rsidRPr="007A43A4">
        <w:rPr>
          <w:rFonts w:cstheme="minorHAnsi"/>
          <w:color w:val="000000"/>
          <w:sz w:val="24"/>
          <w:szCs w:val="24"/>
          <w:shd w:val="clear" w:color="auto" w:fill="FFFFFF"/>
        </w:rPr>
        <w:t>®</w:t>
      </w:r>
      <w:r w:rsidRPr="00EB3D44">
        <w:rPr>
          <w:rFonts w:cstheme="minorHAnsi"/>
          <w:color w:val="000000"/>
          <w:sz w:val="24"/>
          <w:szCs w:val="24"/>
          <w:shd w:val="clear" w:color="auto" w:fill="FFFFFF"/>
        </w:rPr>
        <w:t xml:space="preserve">4, </w:t>
      </w:r>
      <w:r w:rsidRPr="00EB3D44">
        <w:rPr>
          <w:rFonts w:cstheme="minorHAnsi"/>
          <w:color w:val="212121"/>
          <w:sz w:val="24"/>
          <w:szCs w:val="24"/>
          <w:shd w:val="clear" w:color="auto" w:fill="FFFFFF"/>
        </w:rPr>
        <w:t xml:space="preserve">HPV6/11/16/18) </w:t>
      </w:r>
      <w:r w:rsidRPr="00EB3D44">
        <w:rPr>
          <w:rFonts w:cstheme="minorHAnsi"/>
          <w:color w:val="000000"/>
          <w:sz w:val="24"/>
          <w:szCs w:val="24"/>
          <w:shd w:val="clear" w:color="auto" w:fill="FFFFFF"/>
        </w:rPr>
        <w:t>og en 9-valent (Gardasil</w:t>
      </w:r>
      <w:r w:rsidRPr="007A43A4">
        <w:rPr>
          <w:rFonts w:cstheme="minorHAnsi"/>
          <w:color w:val="000000"/>
          <w:sz w:val="24"/>
          <w:szCs w:val="24"/>
          <w:shd w:val="clear" w:color="auto" w:fill="FFFFFF"/>
        </w:rPr>
        <w:t>®</w:t>
      </w:r>
      <w:r w:rsidRPr="00EB3D44">
        <w:rPr>
          <w:rFonts w:cstheme="minorHAnsi"/>
          <w:color w:val="000000"/>
          <w:sz w:val="24"/>
          <w:szCs w:val="24"/>
          <w:shd w:val="clear" w:color="auto" w:fill="FFFFFF"/>
        </w:rPr>
        <w:t xml:space="preserve">9, </w:t>
      </w:r>
      <w:r w:rsidRPr="00EB3D44">
        <w:rPr>
          <w:rFonts w:cstheme="minorHAnsi"/>
          <w:color w:val="212121"/>
          <w:sz w:val="24"/>
          <w:szCs w:val="24"/>
          <w:shd w:val="clear" w:color="auto" w:fill="FFFFFF"/>
        </w:rPr>
        <w:t>HPV6/11/16/18/31/33/45/52/58)</w:t>
      </w:r>
      <w:r w:rsidRPr="00EB3D44">
        <w:rPr>
          <w:rFonts w:cstheme="minorHAnsi"/>
          <w:color w:val="000000"/>
          <w:sz w:val="24"/>
          <w:szCs w:val="24"/>
          <w:shd w:val="clear" w:color="auto" w:fill="FFFFFF"/>
        </w:rPr>
        <w:t>, hvoraf kun den 4- og 9-valente beskytter mod kondylomer. Det har varieret hvilken vaccine der har været brugt i det danske børnevaccinationsprogram; siden november 2017 har det været den 9-valente vaccine</w:t>
      </w:r>
      <w:r w:rsidRPr="00EB3D44">
        <w:rPr>
          <w:rFonts w:cstheme="minorHAnsi"/>
          <w:sz w:val="24"/>
          <w:szCs w:val="24"/>
        </w:rPr>
        <w:t xml:space="preserve"> og siden september 2019 er drenge også blevet omfattet af tilbuddet. Det er vigtigt løbende at orientere sig i eventuelle catch-up programmer.</w:t>
      </w:r>
    </w:p>
    <w:p w:rsidR="008D5AF9" w:rsidRDefault="008D5AF9" w:rsidP="008D5AF9">
      <w:pPr>
        <w:rPr>
          <w:sz w:val="24"/>
          <w:szCs w:val="24"/>
        </w:rPr>
      </w:pPr>
      <w:r w:rsidRPr="00EB3D44">
        <w:rPr>
          <w:rFonts w:cstheme="minorHAnsi"/>
          <w:sz w:val="24"/>
          <w:szCs w:val="24"/>
        </w:rPr>
        <w:t>HPV-vaccinerne virker profylaktisk og har ikke terapeutiske effekter. Det er nærliggende at forestille sig at HPV-vaccination vil kunne booste immunsystemet hos patienter med kondylomer og dermed fremskynde clearance og reducere recidivraten. Ud fra den nuværende viden, ser det dog ikke ud til at været tilfældet.</w:t>
      </w:r>
      <w:r>
        <w:rPr>
          <w:rFonts w:cstheme="minorHAnsi"/>
          <w:sz w:val="24"/>
          <w:szCs w:val="24"/>
        </w:rPr>
        <w:t xml:space="preserve"> To</w:t>
      </w:r>
      <w:r w:rsidRPr="00EB3D44">
        <w:rPr>
          <w:rFonts w:cstheme="minorHAnsi"/>
          <w:sz w:val="24"/>
          <w:szCs w:val="24"/>
        </w:rPr>
        <w:t xml:space="preserve"> randomiserede </w:t>
      </w:r>
      <w:r w:rsidRPr="00EB3D44">
        <w:rPr>
          <w:rFonts w:cstheme="minorHAnsi"/>
          <w:color w:val="000000" w:themeColor="text1"/>
          <w:sz w:val="24"/>
          <w:szCs w:val="24"/>
        </w:rPr>
        <w:t>studier (n=656) har undersøgt effekten af at vaccinere patienter med kondylomer med den 4-valente HPV-vaccine. Ingen af studierne kunne påvise en signifikant lavere recidivrate blandt de vaccinerede</w:t>
      </w:r>
      <w:r>
        <w:rPr>
          <w:rFonts w:cstheme="minorHAnsi"/>
          <w:color w:val="000000" w:themeColor="text1"/>
          <w:sz w:val="24"/>
          <w:szCs w:val="24"/>
        </w:rPr>
        <w:t xml:space="preserve"> </w:t>
      </w:r>
      <w:r>
        <w:rPr>
          <w:rFonts w:cstheme="minorHAnsi"/>
          <w:noProof/>
          <w:color w:val="000000" w:themeColor="text1"/>
          <w:sz w:val="24"/>
          <w:szCs w:val="24"/>
        </w:rPr>
        <w:t>(80, 81)</w:t>
      </w:r>
      <w:r w:rsidRPr="00EB3D44">
        <w:rPr>
          <w:rFonts w:cstheme="minorHAnsi"/>
          <w:color w:val="000000" w:themeColor="text1"/>
          <w:sz w:val="24"/>
          <w:szCs w:val="24"/>
        </w:rPr>
        <w:t xml:space="preserve">.  Man kan vælge alligevel at anbefale HPV-vaccination til patienter med kondylomer, </w:t>
      </w:r>
      <w:r w:rsidRPr="00EB3D44">
        <w:rPr>
          <w:sz w:val="24"/>
          <w:szCs w:val="24"/>
        </w:rPr>
        <w:t xml:space="preserve">med tanke på at patienten formentlig ikke er smittet med både HPV </w:t>
      </w:r>
      <w:r>
        <w:rPr>
          <w:sz w:val="24"/>
          <w:szCs w:val="24"/>
        </w:rPr>
        <w:t>6</w:t>
      </w:r>
      <w:r w:rsidRPr="00EB3D44">
        <w:rPr>
          <w:sz w:val="24"/>
          <w:szCs w:val="24"/>
        </w:rPr>
        <w:t xml:space="preserve"> og 11, og således vil modtage beskyttelse mod den ene type. </w:t>
      </w:r>
    </w:p>
    <w:p w:rsidR="008D5AF9" w:rsidRDefault="008D5AF9" w:rsidP="008D5AF9">
      <w:pPr>
        <w:rPr>
          <w:sz w:val="24"/>
          <w:szCs w:val="24"/>
        </w:rPr>
      </w:pPr>
    </w:p>
    <w:p w:rsidR="008D5AF9" w:rsidRDefault="008D5AF9" w:rsidP="008D5AF9">
      <w:pPr>
        <w:rPr>
          <w:sz w:val="24"/>
          <w:szCs w:val="24"/>
        </w:rPr>
      </w:pPr>
    </w:p>
    <w:p w:rsidR="008D5AF9" w:rsidRDefault="008D5AF9" w:rsidP="008D5AF9">
      <w:pPr>
        <w:rPr>
          <w:sz w:val="24"/>
          <w:szCs w:val="24"/>
        </w:rPr>
      </w:pPr>
    </w:p>
    <w:p w:rsidR="008D5AF9" w:rsidRDefault="008D5AF9" w:rsidP="008D5AF9">
      <w:pPr>
        <w:rPr>
          <w:sz w:val="24"/>
          <w:szCs w:val="24"/>
        </w:rPr>
      </w:pPr>
    </w:p>
    <w:p w:rsidR="008D5AF9" w:rsidRPr="00EB3D44" w:rsidRDefault="008D5AF9" w:rsidP="008D5AF9">
      <w:pPr>
        <w:rPr>
          <w:sz w:val="24"/>
          <w:szCs w:val="24"/>
        </w:rPr>
      </w:pPr>
    </w:p>
    <w:p w:rsidR="008D5AF9" w:rsidRPr="00EB3D44" w:rsidRDefault="008D5AF9" w:rsidP="008D5AF9">
      <w:pPr>
        <w:rPr>
          <w:sz w:val="24"/>
          <w:szCs w:val="24"/>
        </w:rPr>
      </w:pPr>
    </w:p>
    <w:p w:rsidR="008D5AF9" w:rsidRPr="00EB3D44" w:rsidRDefault="008D5AF9" w:rsidP="008D5AF9">
      <w:pPr>
        <w:rPr>
          <w:rFonts w:cstheme="minorHAnsi"/>
          <w:sz w:val="24"/>
          <w:szCs w:val="24"/>
        </w:rPr>
      </w:pPr>
    </w:p>
    <w:p w:rsidR="008D5AF9" w:rsidRPr="00B24D0D" w:rsidRDefault="008D5AF9" w:rsidP="008D5AF9"/>
    <w:p w:rsidR="008D5AF9" w:rsidRDefault="008D5AF9" w:rsidP="008D5AF9">
      <w:pPr>
        <w:pStyle w:val="Overskrift2"/>
        <w:rPr>
          <w:rFonts w:asciiTheme="minorHAnsi" w:hAnsiTheme="minorHAnsi" w:cstheme="minorHAnsi"/>
          <w:sz w:val="24"/>
          <w:szCs w:val="24"/>
        </w:rPr>
      </w:pPr>
    </w:p>
    <w:p w:rsidR="008D5AF9" w:rsidRDefault="008D5AF9" w:rsidP="008D5AF9">
      <w:pPr>
        <w:pStyle w:val="Overskrift2"/>
        <w:rPr>
          <w:rFonts w:asciiTheme="minorHAnsi" w:hAnsiTheme="minorHAnsi" w:cstheme="minorHAnsi"/>
          <w:sz w:val="24"/>
          <w:szCs w:val="24"/>
        </w:rPr>
      </w:pPr>
    </w:p>
    <w:p w:rsidR="008D5AF9" w:rsidRPr="005B1D59" w:rsidRDefault="008D5AF9" w:rsidP="008D5AF9">
      <w:pPr>
        <w:pStyle w:val="Overskrift2"/>
        <w:rPr>
          <w:rFonts w:asciiTheme="minorHAnsi" w:hAnsiTheme="minorHAnsi" w:cstheme="minorHAnsi"/>
          <w:sz w:val="28"/>
          <w:szCs w:val="28"/>
        </w:rPr>
      </w:pPr>
      <w:bookmarkStart w:id="18" w:name="_Toc86222548"/>
      <w:r w:rsidRPr="005B1D59">
        <w:rPr>
          <w:rFonts w:asciiTheme="minorHAnsi" w:hAnsiTheme="minorHAnsi" w:cstheme="minorHAnsi"/>
          <w:sz w:val="28"/>
          <w:szCs w:val="28"/>
        </w:rPr>
        <w:t>Smitteopsporing og partnerbehanding</w:t>
      </w:r>
      <w:bookmarkEnd w:id="18"/>
    </w:p>
    <w:p w:rsidR="008D5AF9" w:rsidRPr="005B1D59" w:rsidRDefault="008D5AF9" w:rsidP="008D5AF9">
      <w:pPr>
        <w:rPr>
          <w:sz w:val="28"/>
          <w:szCs w:val="28"/>
        </w:rPr>
      </w:pPr>
    </w:p>
    <w:p w:rsidR="008D5AF9" w:rsidRPr="00F66F15" w:rsidRDefault="008D5AF9" w:rsidP="008D5AF9">
      <w:pPr>
        <w:rPr>
          <w:b/>
          <w:bCs/>
          <w:sz w:val="24"/>
          <w:szCs w:val="24"/>
        </w:rPr>
      </w:pPr>
      <w:r w:rsidRPr="00F66F15">
        <w:rPr>
          <w:b/>
          <w:bCs/>
          <w:sz w:val="24"/>
          <w:szCs w:val="24"/>
        </w:rPr>
        <w:t>Partneropsporing</w:t>
      </w:r>
    </w:p>
    <w:p w:rsidR="008D5AF9" w:rsidRPr="00B24D0D" w:rsidRDefault="008D5AF9" w:rsidP="008D5AF9">
      <w:pPr>
        <w:rPr>
          <w:sz w:val="24"/>
          <w:szCs w:val="24"/>
        </w:rPr>
      </w:pPr>
      <w:r w:rsidRPr="00B24D0D">
        <w:rPr>
          <w:sz w:val="24"/>
          <w:szCs w:val="24"/>
        </w:rPr>
        <w:t>Anbefales ved alle typer af seksuelt overførbare infektioner, fraset kondylomer og genital herpes. Partneropsporing er frivilligt, og skal være i overensstemmelse med gældende EU-lovgivning på området med respekt for kulturforskelle, menneskerettigheder og religiøse overbevisninger.</w:t>
      </w:r>
    </w:p>
    <w:p w:rsidR="008D5AF9" w:rsidRPr="00F66F15" w:rsidRDefault="008D5AF9" w:rsidP="008D5AF9">
      <w:pPr>
        <w:rPr>
          <w:b/>
          <w:bCs/>
          <w:sz w:val="24"/>
          <w:szCs w:val="24"/>
        </w:rPr>
      </w:pPr>
      <w:r w:rsidRPr="00F66F15">
        <w:rPr>
          <w:b/>
          <w:bCs/>
          <w:sz w:val="24"/>
          <w:szCs w:val="24"/>
        </w:rPr>
        <w:t xml:space="preserve">Begreber </w:t>
      </w:r>
    </w:p>
    <w:p w:rsidR="008D5AF9" w:rsidRPr="00B24D0D" w:rsidRDefault="008D5AF9" w:rsidP="008D5AF9">
      <w:pPr>
        <w:pStyle w:val="Ingenafstand"/>
        <w:spacing w:line="276" w:lineRule="auto"/>
        <w:rPr>
          <w:sz w:val="24"/>
          <w:szCs w:val="24"/>
        </w:rPr>
      </w:pPr>
      <w:r w:rsidRPr="00B24D0D">
        <w:rPr>
          <w:sz w:val="24"/>
          <w:szCs w:val="24"/>
        </w:rPr>
        <w:t>INDEX-PERSON: Person som er diagnosticeret med SOI.</w:t>
      </w:r>
    </w:p>
    <w:p w:rsidR="008D5AF9" w:rsidRPr="00B24D0D" w:rsidRDefault="008D5AF9" w:rsidP="008D5AF9">
      <w:pPr>
        <w:pStyle w:val="Ingenafstand"/>
        <w:spacing w:line="276" w:lineRule="auto"/>
        <w:rPr>
          <w:sz w:val="24"/>
          <w:szCs w:val="24"/>
        </w:rPr>
      </w:pPr>
      <w:r w:rsidRPr="00B24D0D">
        <w:rPr>
          <w:sz w:val="24"/>
          <w:szCs w:val="24"/>
        </w:rPr>
        <w:t>KONTAKT: Seksuel relation til index-person indenfor relevant inkubationsperiode.</w:t>
      </w:r>
    </w:p>
    <w:p w:rsidR="008D5AF9" w:rsidRPr="00B24D0D" w:rsidRDefault="008D5AF9" w:rsidP="008D5AF9">
      <w:pPr>
        <w:pStyle w:val="Ingenafstand"/>
        <w:spacing w:line="276" w:lineRule="auto"/>
        <w:rPr>
          <w:sz w:val="24"/>
          <w:szCs w:val="24"/>
        </w:rPr>
      </w:pPr>
      <w:r w:rsidRPr="00B24D0D">
        <w:rPr>
          <w:sz w:val="24"/>
          <w:szCs w:val="24"/>
        </w:rPr>
        <w:t>PARTNEROPSPORING: Identifikation af smittekilde og evt. smittede for at tilbyde relevant udredning og behandling.</w:t>
      </w:r>
    </w:p>
    <w:p w:rsidR="008D5AF9" w:rsidRPr="00B24D0D" w:rsidRDefault="008D5AF9" w:rsidP="008D5AF9">
      <w:pPr>
        <w:pStyle w:val="Ingenafstand"/>
        <w:spacing w:line="276" w:lineRule="auto"/>
      </w:pPr>
      <w:r w:rsidRPr="00B24D0D">
        <w:rPr>
          <w:sz w:val="24"/>
          <w:szCs w:val="24"/>
        </w:rPr>
        <w:t>EMPIRISK BEHANDLING: Behandling ud fra sandsynlig smitte, forud for diagnostiske tests</w:t>
      </w:r>
      <w:r w:rsidRPr="00B24D0D">
        <w:t>.</w:t>
      </w:r>
    </w:p>
    <w:p w:rsidR="00517214" w:rsidRDefault="00517214" w:rsidP="008D5AF9">
      <w:pPr>
        <w:rPr>
          <w:b/>
          <w:bCs/>
          <w:sz w:val="24"/>
          <w:szCs w:val="24"/>
        </w:rPr>
      </w:pPr>
    </w:p>
    <w:p w:rsidR="008D5AF9" w:rsidRPr="00F66F15" w:rsidRDefault="008D5AF9" w:rsidP="008D5AF9">
      <w:pPr>
        <w:rPr>
          <w:b/>
          <w:bCs/>
          <w:sz w:val="24"/>
          <w:szCs w:val="24"/>
        </w:rPr>
      </w:pPr>
      <w:r w:rsidRPr="00F66F15">
        <w:rPr>
          <w:b/>
          <w:bCs/>
          <w:sz w:val="24"/>
          <w:szCs w:val="24"/>
        </w:rPr>
        <w:t>Formål</w:t>
      </w:r>
    </w:p>
    <w:p w:rsidR="008D5AF9" w:rsidRPr="00B24D0D" w:rsidRDefault="008D5AF9" w:rsidP="008D5AF9">
      <w:pPr>
        <w:pStyle w:val="Ingenafstand"/>
        <w:spacing w:line="276" w:lineRule="auto"/>
        <w:rPr>
          <w:sz w:val="24"/>
          <w:szCs w:val="24"/>
        </w:rPr>
      </w:pPr>
      <w:r w:rsidRPr="00B24D0D">
        <w:rPr>
          <w:sz w:val="24"/>
          <w:szCs w:val="24"/>
        </w:rPr>
        <w:t>At bryde smittekæder og reducere risici for kronisk sygdom og senkomplikationer.</w:t>
      </w:r>
    </w:p>
    <w:p w:rsidR="008D5AF9" w:rsidRPr="00B24D0D" w:rsidRDefault="008D5AF9" w:rsidP="008D5AF9">
      <w:pPr>
        <w:pStyle w:val="Ingenafstand"/>
        <w:spacing w:line="276" w:lineRule="auto"/>
        <w:rPr>
          <w:sz w:val="24"/>
          <w:szCs w:val="24"/>
        </w:rPr>
      </w:pPr>
      <w:r w:rsidRPr="00B24D0D">
        <w:rPr>
          <w:sz w:val="24"/>
          <w:szCs w:val="24"/>
        </w:rPr>
        <w:t>At forebygge re-infektion af indeks-personen.</w:t>
      </w:r>
    </w:p>
    <w:p w:rsidR="008D5AF9" w:rsidRPr="00B24D0D" w:rsidRDefault="008D5AF9" w:rsidP="008D5AF9">
      <w:pPr>
        <w:pStyle w:val="Ingenafstand"/>
        <w:spacing w:line="276" w:lineRule="auto"/>
        <w:rPr>
          <w:sz w:val="24"/>
          <w:szCs w:val="24"/>
        </w:rPr>
      </w:pPr>
      <w:r w:rsidRPr="00B24D0D">
        <w:rPr>
          <w:sz w:val="24"/>
          <w:szCs w:val="24"/>
        </w:rPr>
        <w:t>At forebygge ante- og perinatal smitte.</w:t>
      </w:r>
    </w:p>
    <w:p w:rsidR="008D5AF9" w:rsidRPr="00B24D0D" w:rsidRDefault="008D5AF9" w:rsidP="008D5AF9">
      <w:pPr>
        <w:pStyle w:val="Ingenafstand"/>
        <w:spacing w:line="276" w:lineRule="auto"/>
        <w:rPr>
          <w:sz w:val="24"/>
          <w:szCs w:val="24"/>
        </w:rPr>
      </w:pPr>
      <w:r w:rsidRPr="00B24D0D">
        <w:rPr>
          <w:sz w:val="24"/>
          <w:szCs w:val="24"/>
        </w:rPr>
        <w:t>At sikre sygdomskontrol og mindske risikoen for epidemiske udbrud.</w:t>
      </w:r>
    </w:p>
    <w:p w:rsidR="008D5AF9" w:rsidRPr="00B24D0D" w:rsidRDefault="008D5AF9" w:rsidP="008D5AF9">
      <w:pPr>
        <w:rPr>
          <w:sz w:val="24"/>
          <w:szCs w:val="24"/>
        </w:rPr>
      </w:pPr>
    </w:p>
    <w:p w:rsidR="008D5AF9" w:rsidRPr="00B24D0D" w:rsidRDefault="008D5AF9" w:rsidP="008D5AF9">
      <w:pPr>
        <w:rPr>
          <w:sz w:val="24"/>
          <w:szCs w:val="24"/>
        </w:rPr>
      </w:pPr>
      <w:r w:rsidRPr="00B24D0D">
        <w:rPr>
          <w:sz w:val="24"/>
          <w:szCs w:val="24"/>
        </w:rPr>
        <w:t xml:space="preserve">EVIDENS PÅ OMRÅDET </w:t>
      </w:r>
    </w:p>
    <w:p w:rsidR="008D5AF9" w:rsidRPr="00B24D0D" w:rsidRDefault="008D5AF9" w:rsidP="008D5AF9">
      <w:pPr>
        <w:rPr>
          <w:sz w:val="24"/>
          <w:szCs w:val="24"/>
        </w:rPr>
      </w:pPr>
      <w:r w:rsidRPr="00B24D0D">
        <w:rPr>
          <w:sz w:val="24"/>
          <w:szCs w:val="24"/>
        </w:rPr>
        <w:t>Der findes evidens for at empirisk partner-behandling, reducerer risikoen for re-infektion af index-personen ved kurabel SOI (</w:t>
      </w:r>
      <w:r>
        <w:rPr>
          <w:sz w:val="24"/>
          <w:szCs w:val="24"/>
        </w:rPr>
        <w:t>k</w:t>
      </w:r>
      <w:r w:rsidRPr="00B24D0D">
        <w:rPr>
          <w:sz w:val="24"/>
          <w:szCs w:val="24"/>
        </w:rPr>
        <w:t xml:space="preserve">lamydia, </w:t>
      </w:r>
      <w:r>
        <w:rPr>
          <w:sz w:val="24"/>
          <w:szCs w:val="24"/>
        </w:rPr>
        <w:t>g</w:t>
      </w:r>
      <w:r w:rsidRPr="00B24D0D">
        <w:rPr>
          <w:sz w:val="24"/>
          <w:szCs w:val="24"/>
        </w:rPr>
        <w:t xml:space="preserve">onorré og </w:t>
      </w:r>
      <w:r>
        <w:rPr>
          <w:sz w:val="24"/>
          <w:szCs w:val="24"/>
        </w:rPr>
        <w:t>n</w:t>
      </w:r>
      <w:r w:rsidRPr="00B24D0D">
        <w:rPr>
          <w:sz w:val="24"/>
          <w:szCs w:val="24"/>
        </w:rPr>
        <w:t>on-</w:t>
      </w:r>
      <w:r w:rsidR="00682D70">
        <w:rPr>
          <w:sz w:val="24"/>
          <w:szCs w:val="24"/>
        </w:rPr>
        <w:t>gonorroisk</w:t>
      </w:r>
      <w:r w:rsidRPr="00B24D0D">
        <w:rPr>
          <w:sz w:val="24"/>
          <w:szCs w:val="24"/>
        </w:rPr>
        <w:t xml:space="preserve"> </w:t>
      </w:r>
      <w:r>
        <w:rPr>
          <w:sz w:val="24"/>
          <w:szCs w:val="24"/>
        </w:rPr>
        <w:t>u</w:t>
      </w:r>
      <w:r w:rsidRPr="00B24D0D">
        <w:rPr>
          <w:sz w:val="24"/>
          <w:szCs w:val="24"/>
        </w:rPr>
        <w:t>retrit)</w:t>
      </w:r>
      <w:r>
        <w:rPr>
          <w:sz w:val="24"/>
          <w:szCs w:val="24"/>
        </w:rPr>
        <w:t xml:space="preserve">, </w:t>
      </w:r>
      <w:r>
        <w:rPr>
          <w:noProof/>
          <w:sz w:val="24"/>
          <w:szCs w:val="24"/>
        </w:rPr>
        <w:t>(82)</w:t>
      </w:r>
      <w:r w:rsidRPr="00B24D0D">
        <w:rPr>
          <w:sz w:val="24"/>
          <w:szCs w:val="24"/>
        </w:rPr>
        <w:t xml:space="preserve">. </w:t>
      </w:r>
    </w:p>
    <w:p w:rsidR="008D5AF9" w:rsidRPr="00B24D0D" w:rsidRDefault="008D5AF9" w:rsidP="008D5AF9">
      <w:pPr>
        <w:rPr>
          <w:sz w:val="24"/>
          <w:szCs w:val="24"/>
        </w:rPr>
      </w:pPr>
      <w:r w:rsidRPr="00B24D0D">
        <w:rPr>
          <w:sz w:val="24"/>
          <w:szCs w:val="24"/>
        </w:rPr>
        <w:t xml:space="preserve">Vejledning og grundig information af index-personen har vist sig at øge efterspørgslen på SOI-screeninger og behandling.  </w:t>
      </w:r>
    </w:p>
    <w:p w:rsidR="008D5AF9" w:rsidRPr="00B24D0D" w:rsidRDefault="008D5AF9" w:rsidP="008D5AF9">
      <w:pPr>
        <w:rPr>
          <w:sz w:val="24"/>
          <w:szCs w:val="24"/>
        </w:rPr>
      </w:pPr>
      <w:r w:rsidRPr="00B24D0D">
        <w:rPr>
          <w:sz w:val="24"/>
          <w:szCs w:val="24"/>
        </w:rPr>
        <w:t>VEJLEDENDE TIDER FOR PARTNEROPSPORING</w:t>
      </w:r>
    </w:p>
    <w:p w:rsidR="008D5AF9" w:rsidRPr="00B24D0D" w:rsidRDefault="008D5AF9" w:rsidP="008D5AF9">
      <w:pPr>
        <w:rPr>
          <w:sz w:val="24"/>
          <w:szCs w:val="24"/>
        </w:rPr>
      </w:pPr>
      <w:r w:rsidRPr="00B24D0D">
        <w:rPr>
          <w:sz w:val="24"/>
          <w:szCs w:val="24"/>
        </w:rPr>
        <w:t xml:space="preserve">Ud fra et sundhedsfremmedende perspektiv, har vi som venerologer en vigtig opgave i at informere, støtte og opfordre index-personen til at foretage relevant partneropsporing. </w:t>
      </w:r>
    </w:p>
    <w:p w:rsidR="008D5AF9" w:rsidRPr="00B24D0D" w:rsidRDefault="008D5AF9" w:rsidP="008D5AF9">
      <w:pPr>
        <w:rPr>
          <w:sz w:val="24"/>
          <w:szCs w:val="24"/>
        </w:rPr>
      </w:pPr>
      <w:r w:rsidRPr="00B24D0D">
        <w:rPr>
          <w:sz w:val="24"/>
          <w:szCs w:val="24"/>
        </w:rPr>
        <w:t xml:space="preserve">Som hjælp til opgaven henvises til nedenstående skema, hvor PARTNERBEHANDLING refererer til ”fast partner” eller til de kliniske tilfælde, hvor empirisk behandling kan blive relevant. Vi opfordrer endvidere til, at seksualpartnere, indenfor opsporingsperioden, også lader sig teste. </w:t>
      </w:r>
    </w:p>
    <w:p w:rsidR="008D5AF9" w:rsidRPr="00B24D0D" w:rsidRDefault="008D5AF9" w:rsidP="008D5AF9">
      <w:pPr>
        <w:rPr>
          <w:sz w:val="24"/>
          <w:szCs w:val="24"/>
        </w:rPr>
      </w:pPr>
    </w:p>
    <w:p w:rsidR="008D5AF9" w:rsidRPr="00B24D0D" w:rsidRDefault="008D5AF9" w:rsidP="008D5AF9">
      <w:pPr>
        <w:rPr>
          <w:sz w:val="24"/>
          <w:szCs w:val="24"/>
        </w:rPr>
      </w:pPr>
      <w:r w:rsidRPr="00B24D0D">
        <w:rPr>
          <w:sz w:val="24"/>
          <w:szCs w:val="24"/>
        </w:rPr>
        <w:t xml:space="preserve">Overvej muligt smittetidspunkt, symptomdebut og evt. tidligere negative prøver. </w:t>
      </w:r>
    </w:p>
    <w:p w:rsidR="008D5AF9" w:rsidRPr="00B24D0D" w:rsidRDefault="008D5AF9" w:rsidP="008D5AF9">
      <w:pPr>
        <w:rPr>
          <w:rFonts w:cstheme="minorHAnsi"/>
          <w:sz w:val="24"/>
          <w:szCs w:val="24"/>
        </w:rPr>
      </w:pPr>
    </w:p>
    <w:tbl>
      <w:tblPr>
        <w:tblStyle w:val="Tabel-Gitter"/>
        <w:tblW w:w="9800" w:type="dxa"/>
        <w:tblLook w:val="04A0" w:firstRow="1" w:lastRow="0" w:firstColumn="1" w:lastColumn="0" w:noHBand="0" w:noVBand="1"/>
      </w:tblPr>
      <w:tblGrid>
        <w:gridCol w:w="2594"/>
        <w:gridCol w:w="4331"/>
        <w:gridCol w:w="2875"/>
      </w:tblGrid>
      <w:tr w:rsidR="008D5AF9" w:rsidRPr="00B24D0D" w:rsidTr="008D5AF9">
        <w:trPr>
          <w:trHeight w:val="771"/>
        </w:trPr>
        <w:tc>
          <w:tcPr>
            <w:tcW w:w="9800" w:type="dxa"/>
            <w:gridSpan w:val="3"/>
            <w:tcBorders>
              <w:bottom w:val="single" w:sz="4" w:space="0" w:color="auto"/>
            </w:tcBorders>
          </w:tcPr>
          <w:p w:rsidR="008D5AF9" w:rsidRPr="00B1007E" w:rsidRDefault="008D5AF9" w:rsidP="008D5AF9">
            <w:pPr>
              <w:rPr>
                <w:rFonts w:cstheme="minorHAnsi"/>
                <w:sz w:val="24"/>
                <w:szCs w:val="24"/>
              </w:rPr>
            </w:pPr>
            <w:r>
              <w:rPr>
                <w:rFonts w:cstheme="minorHAnsi"/>
                <w:b/>
                <w:bCs/>
                <w:sz w:val="24"/>
                <w:szCs w:val="24"/>
              </w:rPr>
              <w:t xml:space="preserve">Tabel 14  </w:t>
            </w:r>
            <w:r>
              <w:rPr>
                <w:rFonts w:cstheme="minorHAnsi"/>
                <w:sz w:val="24"/>
                <w:szCs w:val="24"/>
              </w:rPr>
              <w:t xml:space="preserve"> Partneropsporingsperiode. Modificeret fra Tiblica et al.  </w:t>
            </w:r>
            <w:r>
              <w:rPr>
                <w:rFonts w:cstheme="minorHAnsi"/>
                <w:noProof/>
                <w:sz w:val="24"/>
                <w:szCs w:val="24"/>
              </w:rPr>
              <w:t>(83)</w:t>
            </w:r>
          </w:p>
        </w:tc>
      </w:tr>
      <w:tr w:rsidR="008D5AF9" w:rsidRPr="00B24D0D" w:rsidTr="008D5AF9">
        <w:trPr>
          <w:trHeight w:val="771"/>
        </w:trPr>
        <w:tc>
          <w:tcPr>
            <w:tcW w:w="2594" w:type="dxa"/>
            <w:tcBorders>
              <w:top w:val="single" w:sz="4" w:space="0" w:color="auto"/>
              <w:left w:val="single" w:sz="4" w:space="0" w:color="auto"/>
              <w:bottom w:val="single" w:sz="4" w:space="0" w:color="auto"/>
              <w:right w:val="nil"/>
            </w:tcBorders>
          </w:tcPr>
          <w:p w:rsidR="008D5AF9" w:rsidRPr="00B24D0D" w:rsidRDefault="008D5AF9" w:rsidP="008D5AF9">
            <w:pPr>
              <w:rPr>
                <w:rFonts w:cstheme="minorHAnsi"/>
                <w:sz w:val="24"/>
                <w:szCs w:val="24"/>
              </w:rPr>
            </w:pPr>
          </w:p>
          <w:p w:rsidR="008D5AF9" w:rsidRPr="00B24D0D" w:rsidRDefault="008D5AF9" w:rsidP="008D5AF9">
            <w:pPr>
              <w:rPr>
                <w:rFonts w:cstheme="minorHAnsi"/>
                <w:sz w:val="24"/>
                <w:szCs w:val="24"/>
              </w:rPr>
            </w:pPr>
            <w:r>
              <w:rPr>
                <w:rFonts w:cstheme="minorHAnsi"/>
                <w:sz w:val="24"/>
                <w:szCs w:val="24"/>
              </w:rPr>
              <w:t>SEKSUELT OVERFØRBAR INFEKTION</w:t>
            </w:r>
          </w:p>
        </w:tc>
        <w:tc>
          <w:tcPr>
            <w:tcW w:w="4331" w:type="dxa"/>
            <w:tcBorders>
              <w:top w:val="single" w:sz="4" w:space="0" w:color="auto"/>
              <w:left w:val="nil"/>
              <w:bottom w:val="single" w:sz="4" w:space="0" w:color="auto"/>
              <w:right w:val="nil"/>
            </w:tcBorders>
          </w:tcPr>
          <w:p w:rsidR="008D5AF9" w:rsidRPr="00B24D0D" w:rsidRDefault="008D5AF9" w:rsidP="00517214">
            <w:pPr>
              <w:jc w:val="center"/>
              <w:rPr>
                <w:rFonts w:cstheme="minorHAnsi"/>
                <w:sz w:val="24"/>
                <w:szCs w:val="24"/>
              </w:rPr>
            </w:pPr>
          </w:p>
          <w:p w:rsidR="008D5AF9" w:rsidRPr="00B24D0D" w:rsidRDefault="008D5AF9" w:rsidP="00517214">
            <w:pPr>
              <w:jc w:val="center"/>
              <w:rPr>
                <w:rFonts w:cstheme="minorHAnsi"/>
                <w:sz w:val="24"/>
                <w:szCs w:val="24"/>
              </w:rPr>
            </w:pPr>
            <w:r w:rsidRPr="00B24D0D">
              <w:rPr>
                <w:rFonts w:cstheme="minorHAnsi"/>
                <w:sz w:val="24"/>
                <w:szCs w:val="24"/>
              </w:rPr>
              <w:t>OPSPORINGSPERIODE</w:t>
            </w:r>
          </w:p>
          <w:p w:rsidR="008D5AF9" w:rsidRPr="00B24D0D" w:rsidRDefault="008D5AF9" w:rsidP="00517214">
            <w:pPr>
              <w:jc w:val="center"/>
              <w:rPr>
                <w:rFonts w:cstheme="minorHAnsi"/>
                <w:sz w:val="24"/>
                <w:szCs w:val="24"/>
              </w:rPr>
            </w:pPr>
            <w:r w:rsidRPr="00B24D0D">
              <w:rPr>
                <w:rFonts w:cstheme="minorHAnsi"/>
                <w:sz w:val="24"/>
                <w:szCs w:val="24"/>
              </w:rPr>
              <w:t>(fra symptomdebut)</w:t>
            </w:r>
          </w:p>
          <w:p w:rsidR="008D5AF9" w:rsidRPr="00B24D0D" w:rsidRDefault="008D5AF9" w:rsidP="00517214">
            <w:pPr>
              <w:jc w:val="center"/>
              <w:rPr>
                <w:rFonts w:cstheme="minorHAnsi"/>
                <w:sz w:val="24"/>
                <w:szCs w:val="24"/>
              </w:rPr>
            </w:pPr>
          </w:p>
        </w:tc>
        <w:tc>
          <w:tcPr>
            <w:tcW w:w="2875" w:type="dxa"/>
            <w:tcBorders>
              <w:top w:val="single" w:sz="4" w:space="0" w:color="auto"/>
              <w:left w:val="nil"/>
              <w:bottom w:val="single" w:sz="4" w:space="0" w:color="auto"/>
              <w:right w:val="single" w:sz="4" w:space="0" w:color="auto"/>
            </w:tcBorders>
          </w:tcPr>
          <w:p w:rsidR="008D5AF9" w:rsidRPr="00B24D0D" w:rsidRDefault="008D5AF9" w:rsidP="008D5AF9">
            <w:pPr>
              <w:jc w:val="center"/>
              <w:rPr>
                <w:rFonts w:cstheme="minorHAnsi"/>
                <w:sz w:val="24"/>
                <w:szCs w:val="24"/>
              </w:rPr>
            </w:pPr>
          </w:p>
          <w:p w:rsidR="008D5AF9" w:rsidRPr="00B24D0D" w:rsidRDefault="008D5AF9" w:rsidP="008D5AF9">
            <w:pPr>
              <w:jc w:val="center"/>
              <w:rPr>
                <w:rFonts w:cstheme="minorHAnsi"/>
                <w:sz w:val="24"/>
                <w:szCs w:val="24"/>
              </w:rPr>
            </w:pPr>
            <w:r w:rsidRPr="00B24D0D">
              <w:rPr>
                <w:rFonts w:cstheme="minorHAnsi"/>
                <w:sz w:val="24"/>
                <w:szCs w:val="24"/>
              </w:rPr>
              <w:t>PARTNERBEHANDLING</w:t>
            </w:r>
          </w:p>
        </w:tc>
      </w:tr>
      <w:tr w:rsidR="008D5AF9" w:rsidRPr="00B24D0D" w:rsidTr="008D5AF9">
        <w:trPr>
          <w:trHeight w:val="568"/>
        </w:trPr>
        <w:tc>
          <w:tcPr>
            <w:tcW w:w="2594" w:type="dxa"/>
            <w:tcBorders>
              <w:top w:val="single" w:sz="4" w:space="0" w:color="auto"/>
              <w:left w:val="single" w:sz="4" w:space="0" w:color="auto"/>
              <w:bottom w:val="nil"/>
              <w:right w:val="nil"/>
            </w:tcBorders>
          </w:tcPr>
          <w:p w:rsidR="00517214" w:rsidRDefault="00517214" w:rsidP="00517214">
            <w:pPr>
              <w:rPr>
                <w:rFonts w:cstheme="minorHAnsi"/>
                <w:sz w:val="24"/>
                <w:szCs w:val="24"/>
              </w:rPr>
            </w:pPr>
          </w:p>
          <w:p w:rsidR="008D5AF9" w:rsidRPr="00B24D0D" w:rsidRDefault="008D5AF9" w:rsidP="00517214">
            <w:pPr>
              <w:rPr>
                <w:rFonts w:cstheme="minorHAnsi"/>
                <w:sz w:val="24"/>
                <w:szCs w:val="24"/>
              </w:rPr>
            </w:pPr>
            <w:r>
              <w:rPr>
                <w:rFonts w:cstheme="minorHAnsi"/>
                <w:sz w:val="24"/>
                <w:szCs w:val="24"/>
              </w:rPr>
              <w:t>Klamydia</w:t>
            </w:r>
          </w:p>
        </w:tc>
        <w:tc>
          <w:tcPr>
            <w:tcW w:w="4331" w:type="dxa"/>
            <w:tcBorders>
              <w:top w:val="single" w:sz="4" w:space="0" w:color="auto"/>
              <w:left w:val="nil"/>
              <w:bottom w:val="nil"/>
              <w:right w:val="nil"/>
            </w:tcBorders>
          </w:tcPr>
          <w:p w:rsidR="008D5AF9" w:rsidRPr="00B24D0D" w:rsidRDefault="008D5AF9" w:rsidP="00517214">
            <w:pPr>
              <w:jc w:val="center"/>
              <w:rPr>
                <w:rFonts w:cstheme="minorHAnsi"/>
                <w:sz w:val="24"/>
                <w:szCs w:val="24"/>
              </w:rPr>
            </w:pPr>
          </w:p>
          <w:p w:rsidR="008D5AF9" w:rsidRPr="00B24D0D" w:rsidRDefault="008D5AF9" w:rsidP="00517214">
            <w:pPr>
              <w:jc w:val="center"/>
              <w:rPr>
                <w:rFonts w:cstheme="minorHAnsi"/>
                <w:sz w:val="24"/>
                <w:szCs w:val="24"/>
              </w:rPr>
            </w:pPr>
            <w:r w:rsidRPr="00B24D0D">
              <w:rPr>
                <w:rFonts w:cstheme="minorHAnsi"/>
                <w:sz w:val="24"/>
                <w:szCs w:val="24"/>
              </w:rPr>
              <w:t>6 m</w:t>
            </w:r>
            <w:r>
              <w:rPr>
                <w:rFonts w:cstheme="minorHAnsi"/>
                <w:sz w:val="24"/>
                <w:szCs w:val="24"/>
              </w:rPr>
              <w:t>åne</w:t>
            </w:r>
            <w:r w:rsidRPr="00B24D0D">
              <w:rPr>
                <w:rFonts w:cstheme="minorHAnsi"/>
                <w:sz w:val="24"/>
                <w:szCs w:val="24"/>
              </w:rPr>
              <w:t>d</w:t>
            </w:r>
            <w:r>
              <w:rPr>
                <w:rFonts w:cstheme="minorHAnsi"/>
                <w:sz w:val="24"/>
                <w:szCs w:val="24"/>
              </w:rPr>
              <w:t>e</w:t>
            </w:r>
            <w:r w:rsidRPr="00B24D0D">
              <w:rPr>
                <w:rFonts w:cstheme="minorHAnsi"/>
                <w:sz w:val="24"/>
                <w:szCs w:val="24"/>
              </w:rPr>
              <w:t>r</w:t>
            </w:r>
          </w:p>
        </w:tc>
        <w:tc>
          <w:tcPr>
            <w:tcW w:w="2875" w:type="dxa"/>
            <w:tcBorders>
              <w:top w:val="single" w:sz="4" w:space="0" w:color="auto"/>
              <w:left w:val="nil"/>
              <w:bottom w:val="nil"/>
              <w:right w:val="single" w:sz="4" w:space="0" w:color="auto"/>
            </w:tcBorders>
          </w:tcPr>
          <w:p w:rsidR="008D5AF9" w:rsidRPr="00B24D0D" w:rsidRDefault="008D5AF9" w:rsidP="008D5AF9">
            <w:pPr>
              <w:jc w:val="center"/>
              <w:rPr>
                <w:rFonts w:cstheme="minorHAnsi"/>
                <w:sz w:val="24"/>
                <w:szCs w:val="24"/>
              </w:rPr>
            </w:pPr>
          </w:p>
          <w:p w:rsidR="00517214" w:rsidRPr="00B24D0D" w:rsidRDefault="008D5AF9" w:rsidP="00517214">
            <w:pPr>
              <w:jc w:val="center"/>
              <w:rPr>
                <w:rFonts w:cstheme="minorHAnsi"/>
                <w:sz w:val="24"/>
                <w:szCs w:val="24"/>
              </w:rPr>
            </w:pPr>
            <w:r w:rsidRPr="00B24D0D">
              <w:rPr>
                <w:rFonts w:cstheme="minorHAnsi"/>
                <w:sz w:val="24"/>
                <w:szCs w:val="24"/>
              </w:rPr>
              <w:t>Ja</w:t>
            </w:r>
          </w:p>
        </w:tc>
      </w:tr>
      <w:tr w:rsidR="008D5AF9" w:rsidRPr="00B24D0D" w:rsidTr="008D5AF9">
        <w:trPr>
          <w:trHeight w:val="582"/>
        </w:trPr>
        <w:tc>
          <w:tcPr>
            <w:tcW w:w="2594" w:type="dxa"/>
            <w:tcBorders>
              <w:top w:val="nil"/>
              <w:left w:val="single" w:sz="4" w:space="0" w:color="auto"/>
              <w:bottom w:val="nil"/>
              <w:right w:val="nil"/>
            </w:tcBorders>
          </w:tcPr>
          <w:p w:rsidR="008D5AF9" w:rsidRPr="00B24D0D" w:rsidRDefault="008D5AF9" w:rsidP="00517214">
            <w:pPr>
              <w:rPr>
                <w:rFonts w:cstheme="minorHAnsi"/>
                <w:sz w:val="24"/>
                <w:szCs w:val="24"/>
              </w:rPr>
            </w:pPr>
            <w:r>
              <w:rPr>
                <w:rFonts w:cstheme="minorHAnsi"/>
                <w:sz w:val="24"/>
                <w:szCs w:val="24"/>
              </w:rPr>
              <w:t>Gonorré</w:t>
            </w:r>
          </w:p>
        </w:tc>
        <w:tc>
          <w:tcPr>
            <w:tcW w:w="4331" w:type="dxa"/>
            <w:tcBorders>
              <w:top w:val="nil"/>
              <w:left w:val="nil"/>
              <w:bottom w:val="nil"/>
              <w:right w:val="nil"/>
            </w:tcBorders>
          </w:tcPr>
          <w:p w:rsidR="008D5AF9" w:rsidRPr="00B24D0D" w:rsidRDefault="008D5AF9" w:rsidP="00517214">
            <w:pPr>
              <w:jc w:val="center"/>
              <w:rPr>
                <w:rFonts w:cstheme="minorHAnsi"/>
                <w:sz w:val="24"/>
                <w:szCs w:val="24"/>
              </w:rPr>
            </w:pPr>
            <w:r w:rsidRPr="00B24D0D">
              <w:rPr>
                <w:rFonts w:cstheme="minorHAnsi"/>
                <w:sz w:val="24"/>
                <w:szCs w:val="24"/>
              </w:rPr>
              <w:t>3 m</w:t>
            </w:r>
            <w:r>
              <w:rPr>
                <w:rFonts w:cstheme="minorHAnsi"/>
                <w:sz w:val="24"/>
                <w:szCs w:val="24"/>
              </w:rPr>
              <w:t>åne</w:t>
            </w:r>
            <w:r w:rsidRPr="00B24D0D">
              <w:rPr>
                <w:rFonts w:cstheme="minorHAnsi"/>
                <w:sz w:val="24"/>
                <w:szCs w:val="24"/>
              </w:rPr>
              <w:t>d</w:t>
            </w:r>
            <w:r>
              <w:rPr>
                <w:rFonts w:cstheme="minorHAnsi"/>
                <w:sz w:val="24"/>
                <w:szCs w:val="24"/>
              </w:rPr>
              <w:t>e</w:t>
            </w:r>
            <w:r w:rsidRPr="00B24D0D">
              <w:rPr>
                <w:rFonts w:cstheme="minorHAnsi"/>
                <w:sz w:val="24"/>
                <w:szCs w:val="24"/>
              </w:rPr>
              <w:t>r</w:t>
            </w:r>
          </w:p>
        </w:tc>
        <w:tc>
          <w:tcPr>
            <w:tcW w:w="2875" w:type="dxa"/>
            <w:tcBorders>
              <w:top w:val="nil"/>
              <w:left w:val="nil"/>
              <w:bottom w:val="nil"/>
              <w:right w:val="single" w:sz="4" w:space="0" w:color="auto"/>
            </w:tcBorders>
          </w:tcPr>
          <w:p w:rsidR="008D5AF9" w:rsidRPr="00B24D0D" w:rsidRDefault="008D5AF9" w:rsidP="008D5AF9">
            <w:pPr>
              <w:jc w:val="center"/>
              <w:rPr>
                <w:rFonts w:cstheme="minorHAnsi"/>
                <w:sz w:val="24"/>
                <w:szCs w:val="24"/>
              </w:rPr>
            </w:pPr>
            <w:r w:rsidRPr="00B24D0D">
              <w:rPr>
                <w:rFonts w:cstheme="minorHAnsi"/>
                <w:sz w:val="24"/>
                <w:szCs w:val="24"/>
              </w:rPr>
              <w:t>Ja</w:t>
            </w:r>
          </w:p>
        </w:tc>
      </w:tr>
      <w:tr w:rsidR="008D5AF9" w:rsidRPr="00B24D0D" w:rsidTr="008D5AF9">
        <w:trPr>
          <w:trHeight w:val="756"/>
        </w:trPr>
        <w:tc>
          <w:tcPr>
            <w:tcW w:w="2594" w:type="dxa"/>
            <w:tcBorders>
              <w:top w:val="nil"/>
              <w:left w:val="single" w:sz="4" w:space="0" w:color="auto"/>
              <w:bottom w:val="nil"/>
              <w:right w:val="nil"/>
            </w:tcBorders>
          </w:tcPr>
          <w:p w:rsidR="008D5AF9" w:rsidRPr="00B24D0D" w:rsidRDefault="008D5AF9" w:rsidP="008D5AF9">
            <w:pPr>
              <w:rPr>
                <w:rFonts w:cstheme="minorHAnsi"/>
                <w:sz w:val="24"/>
                <w:szCs w:val="24"/>
              </w:rPr>
            </w:pPr>
            <w:r w:rsidRPr="00B24D0D">
              <w:rPr>
                <w:rFonts w:cstheme="minorHAnsi"/>
                <w:sz w:val="24"/>
                <w:szCs w:val="24"/>
              </w:rPr>
              <w:t>M</w:t>
            </w:r>
            <w:r>
              <w:rPr>
                <w:rFonts w:cstheme="minorHAnsi"/>
                <w:sz w:val="24"/>
                <w:szCs w:val="24"/>
              </w:rPr>
              <w:t>ycoplasma genitalium</w:t>
            </w:r>
          </w:p>
        </w:tc>
        <w:tc>
          <w:tcPr>
            <w:tcW w:w="4331" w:type="dxa"/>
            <w:tcBorders>
              <w:top w:val="nil"/>
              <w:left w:val="nil"/>
              <w:bottom w:val="nil"/>
              <w:right w:val="nil"/>
            </w:tcBorders>
          </w:tcPr>
          <w:p w:rsidR="008D5AF9" w:rsidRPr="00B24D0D" w:rsidRDefault="008D5AF9" w:rsidP="00517214">
            <w:pPr>
              <w:jc w:val="center"/>
              <w:rPr>
                <w:rFonts w:cstheme="minorHAnsi"/>
                <w:sz w:val="24"/>
                <w:szCs w:val="24"/>
              </w:rPr>
            </w:pPr>
            <w:r w:rsidRPr="00B24D0D">
              <w:rPr>
                <w:rFonts w:cstheme="minorHAnsi"/>
                <w:sz w:val="24"/>
                <w:szCs w:val="24"/>
              </w:rPr>
              <w:t>4 uger</w:t>
            </w:r>
          </w:p>
        </w:tc>
        <w:tc>
          <w:tcPr>
            <w:tcW w:w="2875" w:type="dxa"/>
            <w:tcBorders>
              <w:top w:val="nil"/>
              <w:left w:val="nil"/>
              <w:bottom w:val="nil"/>
              <w:right w:val="single" w:sz="4" w:space="0" w:color="auto"/>
            </w:tcBorders>
          </w:tcPr>
          <w:p w:rsidR="008D5AF9" w:rsidRPr="00B24D0D" w:rsidRDefault="008D5AF9" w:rsidP="008D5AF9">
            <w:pPr>
              <w:jc w:val="center"/>
              <w:rPr>
                <w:rFonts w:cstheme="minorHAnsi"/>
                <w:sz w:val="24"/>
                <w:szCs w:val="24"/>
              </w:rPr>
            </w:pPr>
            <w:r w:rsidRPr="00B24D0D">
              <w:rPr>
                <w:rFonts w:cstheme="minorHAnsi"/>
                <w:sz w:val="24"/>
                <w:szCs w:val="24"/>
              </w:rPr>
              <w:t>Ja</w:t>
            </w:r>
          </w:p>
        </w:tc>
      </w:tr>
      <w:tr w:rsidR="008D5AF9" w:rsidRPr="00B24D0D" w:rsidTr="008D5AF9">
        <w:trPr>
          <w:trHeight w:val="582"/>
        </w:trPr>
        <w:tc>
          <w:tcPr>
            <w:tcW w:w="2594" w:type="dxa"/>
            <w:tcBorders>
              <w:top w:val="nil"/>
              <w:left w:val="single" w:sz="4" w:space="0" w:color="auto"/>
              <w:bottom w:val="nil"/>
              <w:right w:val="nil"/>
            </w:tcBorders>
          </w:tcPr>
          <w:p w:rsidR="008D5AF9" w:rsidRPr="00B24D0D" w:rsidRDefault="008D5AF9" w:rsidP="008D5AF9">
            <w:pPr>
              <w:rPr>
                <w:rFonts w:cstheme="minorHAnsi"/>
                <w:sz w:val="24"/>
                <w:szCs w:val="24"/>
              </w:rPr>
            </w:pPr>
            <w:r>
              <w:rPr>
                <w:rFonts w:cstheme="minorHAnsi"/>
                <w:sz w:val="24"/>
                <w:szCs w:val="24"/>
              </w:rPr>
              <w:t>Scabies</w:t>
            </w:r>
          </w:p>
        </w:tc>
        <w:tc>
          <w:tcPr>
            <w:tcW w:w="4331" w:type="dxa"/>
            <w:tcBorders>
              <w:top w:val="nil"/>
              <w:left w:val="nil"/>
              <w:bottom w:val="nil"/>
              <w:right w:val="nil"/>
            </w:tcBorders>
          </w:tcPr>
          <w:p w:rsidR="008D5AF9" w:rsidRPr="00B24D0D" w:rsidRDefault="008D5AF9" w:rsidP="00517214">
            <w:pPr>
              <w:jc w:val="center"/>
              <w:rPr>
                <w:rFonts w:cstheme="minorHAnsi"/>
                <w:sz w:val="24"/>
                <w:szCs w:val="24"/>
              </w:rPr>
            </w:pPr>
            <w:r w:rsidRPr="00B24D0D">
              <w:rPr>
                <w:rFonts w:cstheme="minorHAnsi"/>
                <w:sz w:val="24"/>
                <w:szCs w:val="24"/>
              </w:rPr>
              <w:t>2 m</w:t>
            </w:r>
            <w:r>
              <w:rPr>
                <w:rFonts w:cstheme="minorHAnsi"/>
                <w:sz w:val="24"/>
                <w:szCs w:val="24"/>
              </w:rPr>
              <w:t>åne</w:t>
            </w:r>
            <w:r w:rsidRPr="00B24D0D">
              <w:rPr>
                <w:rFonts w:cstheme="minorHAnsi"/>
                <w:sz w:val="24"/>
                <w:szCs w:val="24"/>
              </w:rPr>
              <w:t>d</w:t>
            </w:r>
            <w:r>
              <w:rPr>
                <w:rFonts w:cstheme="minorHAnsi"/>
                <w:sz w:val="24"/>
                <w:szCs w:val="24"/>
              </w:rPr>
              <w:t>e</w:t>
            </w:r>
            <w:r w:rsidRPr="00B24D0D">
              <w:rPr>
                <w:rFonts w:cstheme="minorHAnsi"/>
                <w:sz w:val="24"/>
                <w:szCs w:val="24"/>
              </w:rPr>
              <w:t>r</w:t>
            </w:r>
          </w:p>
        </w:tc>
        <w:tc>
          <w:tcPr>
            <w:tcW w:w="2875" w:type="dxa"/>
            <w:tcBorders>
              <w:top w:val="nil"/>
              <w:left w:val="nil"/>
              <w:bottom w:val="nil"/>
              <w:right w:val="single" w:sz="4" w:space="0" w:color="auto"/>
            </w:tcBorders>
          </w:tcPr>
          <w:p w:rsidR="008D5AF9" w:rsidRPr="00B24D0D" w:rsidRDefault="008D5AF9" w:rsidP="008D5AF9">
            <w:pPr>
              <w:jc w:val="center"/>
              <w:rPr>
                <w:rFonts w:cstheme="minorHAnsi"/>
                <w:sz w:val="24"/>
                <w:szCs w:val="24"/>
              </w:rPr>
            </w:pPr>
            <w:r w:rsidRPr="00B24D0D">
              <w:rPr>
                <w:rFonts w:cstheme="minorHAnsi"/>
                <w:sz w:val="24"/>
                <w:szCs w:val="24"/>
              </w:rPr>
              <w:t>Ja</w:t>
            </w:r>
          </w:p>
        </w:tc>
      </w:tr>
      <w:tr w:rsidR="008D5AF9" w:rsidRPr="00B24D0D" w:rsidTr="008D5AF9">
        <w:trPr>
          <w:trHeight w:val="1135"/>
        </w:trPr>
        <w:tc>
          <w:tcPr>
            <w:tcW w:w="2594" w:type="dxa"/>
            <w:tcBorders>
              <w:top w:val="nil"/>
              <w:left w:val="single" w:sz="4" w:space="0" w:color="auto"/>
              <w:bottom w:val="nil"/>
              <w:right w:val="nil"/>
            </w:tcBorders>
          </w:tcPr>
          <w:p w:rsidR="008D5AF9" w:rsidRPr="00B24D0D" w:rsidRDefault="008D5AF9" w:rsidP="008D5AF9">
            <w:pPr>
              <w:rPr>
                <w:rFonts w:cstheme="minorHAnsi"/>
                <w:sz w:val="24"/>
                <w:szCs w:val="24"/>
              </w:rPr>
            </w:pPr>
            <w:r>
              <w:rPr>
                <w:rFonts w:cstheme="minorHAnsi"/>
                <w:sz w:val="24"/>
                <w:szCs w:val="24"/>
              </w:rPr>
              <w:t>Syfilis</w:t>
            </w:r>
          </w:p>
        </w:tc>
        <w:tc>
          <w:tcPr>
            <w:tcW w:w="4331" w:type="dxa"/>
            <w:tcBorders>
              <w:top w:val="nil"/>
              <w:left w:val="nil"/>
              <w:bottom w:val="nil"/>
              <w:right w:val="nil"/>
            </w:tcBorders>
          </w:tcPr>
          <w:p w:rsidR="008D5AF9" w:rsidRPr="00B24D0D" w:rsidRDefault="008D5AF9" w:rsidP="00517214">
            <w:pPr>
              <w:jc w:val="center"/>
              <w:rPr>
                <w:rFonts w:cstheme="minorHAnsi"/>
                <w:sz w:val="24"/>
                <w:szCs w:val="24"/>
              </w:rPr>
            </w:pPr>
            <w:r w:rsidRPr="00B24D0D">
              <w:rPr>
                <w:rFonts w:cstheme="minorHAnsi"/>
                <w:sz w:val="24"/>
                <w:szCs w:val="24"/>
              </w:rPr>
              <w:t>3 m</w:t>
            </w:r>
            <w:r>
              <w:rPr>
                <w:rFonts w:cstheme="minorHAnsi"/>
                <w:sz w:val="24"/>
                <w:szCs w:val="24"/>
              </w:rPr>
              <w:t>åne</w:t>
            </w:r>
            <w:r w:rsidRPr="00B24D0D">
              <w:rPr>
                <w:rFonts w:cstheme="minorHAnsi"/>
                <w:sz w:val="24"/>
                <w:szCs w:val="24"/>
              </w:rPr>
              <w:t>d</w:t>
            </w:r>
            <w:r>
              <w:rPr>
                <w:rFonts w:cstheme="minorHAnsi"/>
                <w:sz w:val="24"/>
                <w:szCs w:val="24"/>
              </w:rPr>
              <w:t>e</w:t>
            </w:r>
            <w:r w:rsidRPr="00B24D0D">
              <w:rPr>
                <w:rFonts w:cstheme="minorHAnsi"/>
                <w:sz w:val="24"/>
                <w:szCs w:val="24"/>
              </w:rPr>
              <w:t>r (primærst</w:t>
            </w:r>
            <w:r>
              <w:rPr>
                <w:rFonts w:cstheme="minorHAnsi"/>
                <w:sz w:val="24"/>
                <w:szCs w:val="24"/>
              </w:rPr>
              <w:t>adiet</w:t>
            </w:r>
            <w:r w:rsidRPr="00B24D0D">
              <w:rPr>
                <w:rFonts w:cstheme="minorHAnsi"/>
                <w:sz w:val="24"/>
                <w:szCs w:val="24"/>
              </w:rPr>
              <w:t>)</w:t>
            </w:r>
          </w:p>
          <w:p w:rsidR="008D5AF9" w:rsidRPr="00B24D0D" w:rsidRDefault="008D5AF9" w:rsidP="00517214">
            <w:pPr>
              <w:jc w:val="center"/>
              <w:rPr>
                <w:rFonts w:cstheme="minorHAnsi"/>
                <w:sz w:val="24"/>
                <w:szCs w:val="24"/>
              </w:rPr>
            </w:pPr>
            <w:r w:rsidRPr="00B24D0D">
              <w:rPr>
                <w:rFonts w:cstheme="minorHAnsi"/>
                <w:sz w:val="24"/>
                <w:szCs w:val="24"/>
              </w:rPr>
              <w:t>6 m</w:t>
            </w:r>
            <w:r>
              <w:rPr>
                <w:rFonts w:cstheme="minorHAnsi"/>
                <w:sz w:val="24"/>
                <w:szCs w:val="24"/>
              </w:rPr>
              <w:t>åne</w:t>
            </w:r>
            <w:r w:rsidRPr="00B24D0D">
              <w:rPr>
                <w:rFonts w:cstheme="minorHAnsi"/>
                <w:sz w:val="24"/>
                <w:szCs w:val="24"/>
              </w:rPr>
              <w:t>d</w:t>
            </w:r>
            <w:r>
              <w:rPr>
                <w:rFonts w:cstheme="minorHAnsi"/>
                <w:sz w:val="24"/>
                <w:szCs w:val="24"/>
              </w:rPr>
              <w:t>er</w:t>
            </w:r>
            <w:r w:rsidRPr="00B24D0D">
              <w:rPr>
                <w:rFonts w:cstheme="minorHAnsi"/>
                <w:sz w:val="24"/>
                <w:szCs w:val="24"/>
              </w:rPr>
              <w:t xml:space="preserve"> (sekundærst</w:t>
            </w:r>
            <w:r>
              <w:rPr>
                <w:rFonts w:cstheme="minorHAnsi"/>
                <w:sz w:val="24"/>
                <w:szCs w:val="24"/>
              </w:rPr>
              <w:t>adiet</w:t>
            </w:r>
            <w:r w:rsidRPr="00B24D0D">
              <w:rPr>
                <w:rFonts w:cstheme="minorHAnsi"/>
                <w:sz w:val="24"/>
                <w:szCs w:val="24"/>
              </w:rPr>
              <w:t>)</w:t>
            </w:r>
          </w:p>
          <w:p w:rsidR="008D5AF9" w:rsidRPr="00B24D0D" w:rsidRDefault="008D5AF9" w:rsidP="00517214">
            <w:pPr>
              <w:jc w:val="center"/>
              <w:rPr>
                <w:rFonts w:cstheme="minorHAnsi"/>
                <w:sz w:val="24"/>
                <w:szCs w:val="24"/>
              </w:rPr>
            </w:pPr>
            <w:r w:rsidRPr="00B24D0D">
              <w:rPr>
                <w:rFonts w:cstheme="minorHAnsi"/>
                <w:sz w:val="24"/>
                <w:szCs w:val="24"/>
              </w:rPr>
              <w:t>2 år (tidlig latent</w:t>
            </w:r>
            <w:r>
              <w:rPr>
                <w:rFonts w:cstheme="minorHAnsi"/>
                <w:sz w:val="24"/>
                <w:szCs w:val="24"/>
              </w:rPr>
              <w:t>s</w:t>
            </w:r>
            <w:r w:rsidRPr="00B24D0D">
              <w:rPr>
                <w:rFonts w:cstheme="minorHAnsi"/>
                <w:sz w:val="24"/>
                <w:szCs w:val="24"/>
              </w:rPr>
              <w:t>t</w:t>
            </w:r>
            <w:r>
              <w:rPr>
                <w:rFonts w:cstheme="minorHAnsi"/>
                <w:sz w:val="24"/>
                <w:szCs w:val="24"/>
              </w:rPr>
              <w:t>adiet</w:t>
            </w:r>
            <w:r w:rsidRPr="00B24D0D">
              <w:rPr>
                <w:rFonts w:cstheme="minorHAnsi"/>
                <w:sz w:val="24"/>
                <w:szCs w:val="24"/>
              </w:rPr>
              <w:t>)</w:t>
            </w:r>
          </w:p>
          <w:p w:rsidR="008D5AF9" w:rsidRPr="00B24D0D" w:rsidRDefault="008D5AF9" w:rsidP="00517214">
            <w:pPr>
              <w:jc w:val="center"/>
              <w:rPr>
                <w:rFonts w:cstheme="minorHAnsi"/>
                <w:sz w:val="24"/>
                <w:szCs w:val="24"/>
              </w:rPr>
            </w:pPr>
            <w:r>
              <w:rPr>
                <w:rFonts w:cstheme="minorHAnsi"/>
                <w:sz w:val="24"/>
                <w:szCs w:val="24"/>
              </w:rPr>
              <w:t xml:space="preserve">Op til </w:t>
            </w:r>
            <w:r w:rsidRPr="00B24D0D">
              <w:rPr>
                <w:rFonts w:cstheme="minorHAnsi"/>
                <w:sz w:val="24"/>
                <w:szCs w:val="24"/>
              </w:rPr>
              <w:t>30 år (sen latent og tertiærst</w:t>
            </w:r>
            <w:r>
              <w:rPr>
                <w:rFonts w:cstheme="minorHAnsi"/>
                <w:sz w:val="24"/>
                <w:szCs w:val="24"/>
              </w:rPr>
              <w:t>adiet</w:t>
            </w:r>
            <w:r w:rsidRPr="00B24D0D">
              <w:rPr>
                <w:rFonts w:cstheme="minorHAnsi"/>
                <w:sz w:val="24"/>
                <w:szCs w:val="24"/>
              </w:rPr>
              <w:t>)</w:t>
            </w:r>
          </w:p>
        </w:tc>
        <w:tc>
          <w:tcPr>
            <w:tcW w:w="2875" w:type="dxa"/>
            <w:tcBorders>
              <w:top w:val="nil"/>
              <w:left w:val="nil"/>
              <w:bottom w:val="nil"/>
              <w:right w:val="single" w:sz="4" w:space="0" w:color="auto"/>
            </w:tcBorders>
          </w:tcPr>
          <w:p w:rsidR="008D5AF9" w:rsidRPr="00B24D0D" w:rsidRDefault="008D5AF9" w:rsidP="008D5AF9">
            <w:pPr>
              <w:jc w:val="center"/>
              <w:rPr>
                <w:rFonts w:cstheme="minorHAnsi"/>
                <w:sz w:val="24"/>
                <w:szCs w:val="24"/>
              </w:rPr>
            </w:pPr>
            <w:r w:rsidRPr="00B24D0D">
              <w:rPr>
                <w:rFonts w:cstheme="minorHAnsi"/>
                <w:sz w:val="24"/>
                <w:szCs w:val="24"/>
              </w:rPr>
              <w:t>Ja</w:t>
            </w:r>
          </w:p>
          <w:p w:rsidR="008D5AF9" w:rsidRPr="00B24D0D" w:rsidRDefault="008D5AF9" w:rsidP="008D5AF9">
            <w:pPr>
              <w:jc w:val="center"/>
              <w:rPr>
                <w:rFonts w:cstheme="minorHAnsi"/>
                <w:sz w:val="24"/>
                <w:szCs w:val="24"/>
              </w:rPr>
            </w:pPr>
            <w:r w:rsidRPr="00B24D0D">
              <w:rPr>
                <w:rFonts w:cstheme="minorHAnsi"/>
                <w:sz w:val="24"/>
                <w:szCs w:val="24"/>
              </w:rPr>
              <w:t>Ja</w:t>
            </w:r>
          </w:p>
          <w:p w:rsidR="008D5AF9" w:rsidRPr="00B24D0D" w:rsidRDefault="008D5AF9" w:rsidP="008D5AF9">
            <w:pPr>
              <w:jc w:val="center"/>
              <w:rPr>
                <w:rFonts w:cstheme="minorHAnsi"/>
                <w:sz w:val="24"/>
                <w:szCs w:val="24"/>
              </w:rPr>
            </w:pPr>
            <w:r w:rsidRPr="00B24D0D">
              <w:rPr>
                <w:rFonts w:cstheme="minorHAnsi"/>
                <w:sz w:val="24"/>
                <w:szCs w:val="24"/>
              </w:rPr>
              <w:t>Ja</w:t>
            </w:r>
          </w:p>
          <w:p w:rsidR="008D5AF9" w:rsidRPr="00B24D0D" w:rsidRDefault="008D5AF9" w:rsidP="008D5AF9">
            <w:pPr>
              <w:jc w:val="center"/>
              <w:rPr>
                <w:rFonts w:cstheme="minorHAnsi"/>
                <w:sz w:val="24"/>
                <w:szCs w:val="24"/>
              </w:rPr>
            </w:pPr>
            <w:r w:rsidRPr="00B24D0D">
              <w:rPr>
                <w:rFonts w:cstheme="minorHAnsi"/>
                <w:sz w:val="24"/>
                <w:szCs w:val="24"/>
              </w:rPr>
              <w:t>Nej</w:t>
            </w:r>
          </w:p>
        </w:tc>
      </w:tr>
      <w:tr w:rsidR="008D5AF9" w:rsidRPr="00B24D0D" w:rsidTr="008D5AF9">
        <w:trPr>
          <w:trHeight w:val="771"/>
        </w:trPr>
        <w:tc>
          <w:tcPr>
            <w:tcW w:w="2594" w:type="dxa"/>
            <w:tcBorders>
              <w:top w:val="nil"/>
              <w:left w:val="single" w:sz="4" w:space="0" w:color="auto"/>
              <w:bottom w:val="nil"/>
              <w:right w:val="nil"/>
            </w:tcBorders>
          </w:tcPr>
          <w:p w:rsidR="008D5AF9" w:rsidRPr="00B24D0D" w:rsidRDefault="008D5AF9" w:rsidP="008D5AF9">
            <w:pPr>
              <w:rPr>
                <w:rFonts w:cstheme="minorHAnsi"/>
                <w:sz w:val="24"/>
                <w:szCs w:val="24"/>
              </w:rPr>
            </w:pPr>
            <w:r w:rsidRPr="00B24D0D">
              <w:rPr>
                <w:rFonts w:cstheme="minorHAnsi"/>
                <w:sz w:val="24"/>
                <w:szCs w:val="24"/>
              </w:rPr>
              <w:t>HIV</w:t>
            </w:r>
          </w:p>
        </w:tc>
        <w:tc>
          <w:tcPr>
            <w:tcW w:w="4331" w:type="dxa"/>
            <w:tcBorders>
              <w:top w:val="nil"/>
              <w:left w:val="nil"/>
              <w:bottom w:val="nil"/>
              <w:right w:val="nil"/>
            </w:tcBorders>
          </w:tcPr>
          <w:p w:rsidR="008D5AF9" w:rsidRPr="00B24D0D" w:rsidRDefault="008D5AF9" w:rsidP="00517214">
            <w:pPr>
              <w:jc w:val="center"/>
              <w:rPr>
                <w:rFonts w:cstheme="minorHAnsi"/>
                <w:sz w:val="24"/>
                <w:szCs w:val="24"/>
              </w:rPr>
            </w:pPr>
            <w:r w:rsidRPr="00B24D0D">
              <w:rPr>
                <w:rFonts w:cstheme="minorHAnsi"/>
                <w:sz w:val="24"/>
                <w:szCs w:val="24"/>
              </w:rPr>
              <w:t>3 m</w:t>
            </w:r>
            <w:r>
              <w:rPr>
                <w:rFonts w:cstheme="minorHAnsi"/>
                <w:sz w:val="24"/>
                <w:szCs w:val="24"/>
              </w:rPr>
              <w:t>åne</w:t>
            </w:r>
            <w:r w:rsidRPr="00B24D0D">
              <w:rPr>
                <w:rFonts w:cstheme="minorHAnsi"/>
                <w:sz w:val="24"/>
                <w:szCs w:val="24"/>
              </w:rPr>
              <w:t>d</w:t>
            </w:r>
            <w:r>
              <w:rPr>
                <w:rFonts w:cstheme="minorHAnsi"/>
                <w:sz w:val="24"/>
                <w:szCs w:val="24"/>
              </w:rPr>
              <w:t>e</w:t>
            </w:r>
            <w:r w:rsidRPr="00B24D0D">
              <w:rPr>
                <w:rFonts w:cstheme="minorHAnsi"/>
                <w:sz w:val="24"/>
                <w:szCs w:val="24"/>
              </w:rPr>
              <w:t>r.</w:t>
            </w:r>
          </w:p>
        </w:tc>
        <w:tc>
          <w:tcPr>
            <w:tcW w:w="2875" w:type="dxa"/>
            <w:tcBorders>
              <w:top w:val="nil"/>
              <w:left w:val="nil"/>
              <w:bottom w:val="nil"/>
              <w:right w:val="single" w:sz="4" w:space="0" w:color="auto"/>
            </w:tcBorders>
          </w:tcPr>
          <w:p w:rsidR="008D5AF9" w:rsidRPr="00B24D0D" w:rsidRDefault="008D5AF9" w:rsidP="008D5AF9">
            <w:pPr>
              <w:jc w:val="center"/>
              <w:rPr>
                <w:rFonts w:cstheme="minorHAnsi"/>
                <w:sz w:val="24"/>
                <w:szCs w:val="24"/>
              </w:rPr>
            </w:pPr>
            <w:r w:rsidRPr="00B24D0D">
              <w:rPr>
                <w:rFonts w:cstheme="minorHAnsi"/>
                <w:sz w:val="24"/>
                <w:szCs w:val="24"/>
              </w:rPr>
              <w:t xml:space="preserve">Post Exposure Profylakse (PEP) </w:t>
            </w:r>
          </w:p>
        </w:tc>
      </w:tr>
      <w:tr w:rsidR="008D5AF9" w:rsidRPr="00B24D0D" w:rsidTr="008D5AF9">
        <w:trPr>
          <w:trHeight w:val="771"/>
        </w:trPr>
        <w:tc>
          <w:tcPr>
            <w:tcW w:w="2594" w:type="dxa"/>
            <w:tcBorders>
              <w:top w:val="nil"/>
              <w:left w:val="single" w:sz="4" w:space="0" w:color="auto"/>
              <w:bottom w:val="nil"/>
              <w:right w:val="nil"/>
            </w:tcBorders>
          </w:tcPr>
          <w:p w:rsidR="008D5AF9" w:rsidRPr="00B24D0D" w:rsidRDefault="008D5AF9" w:rsidP="008D5AF9">
            <w:pPr>
              <w:rPr>
                <w:rFonts w:cstheme="minorHAnsi"/>
                <w:sz w:val="24"/>
                <w:szCs w:val="24"/>
              </w:rPr>
            </w:pPr>
            <w:r w:rsidRPr="00B24D0D">
              <w:rPr>
                <w:rFonts w:cstheme="minorHAnsi"/>
                <w:sz w:val="24"/>
                <w:szCs w:val="24"/>
              </w:rPr>
              <w:t>H</w:t>
            </w:r>
            <w:r>
              <w:rPr>
                <w:rFonts w:cstheme="minorHAnsi"/>
                <w:sz w:val="24"/>
                <w:szCs w:val="24"/>
              </w:rPr>
              <w:t>e</w:t>
            </w:r>
            <w:r w:rsidRPr="00B24D0D">
              <w:rPr>
                <w:rFonts w:cstheme="minorHAnsi"/>
                <w:sz w:val="24"/>
                <w:szCs w:val="24"/>
              </w:rPr>
              <w:t>patitis A + B* virus</w:t>
            </w:r>
          </w:p>
        </w:tc>
        <w:tc>
          <w:tcPr>
            <w:tcW w:w="4331" w:type="dxa"/>
            <w:tcBorders>
              <w:top w:val="nil"/>
              <w:left w:val="nil"/>
              <w:bottom w:val="nil"/>
              <w:right w:val="nil"/>
            </w:tcBorders>
          </w:tcPr>
          <w:p w:rsidR="008D5AF9" w:rsidRPr="00517214" w:rsidRDefault="008D5AF9" w:rsidP="00517214">
            <w:pPr>
              <w:pStyle w:val="Ingenafstand"/>
              <w:jc w:val="center"/>
              <w:rPr>
                <w:sz w:val="24"/>
                <w:szCs w:val="24"/>
              </w:rPr>
            </w:pPr>
            <w:r w:rsidRPr="00517214">
              <w:rPr>
                <w:sz w:val="24"/>
                <w:szCs w:val="24"/>
              </w:rPr>
              <w:t>Fra smittetidspunktet eller 2 uger</w:t>
            </w:r>
          </w:p>
          <w:p w:rsidR="008D5AF9" w:rsidRPr="00517214" w:rsidRDefault="008D5AF9" w:rsidP="00517214">
            <w:pPr>
              <w:pStyle w:val="Ingenafstand"/>
              <w:jc w:val="center"/>
              <w:rPr>
                <w:sz w:val="24"/>
                <w:szCs w:val="24"/>
              </w:rPr>
            </w:pPr>
            <w:r w:rsidRPr="00517214">
              <w:rPr>
                <w:sz w:val="24"/>
                <w:szCs w:val="24"/>
              </w:rPr>
              <w:t>op til udvikling af gulsot</w:t>
            </w:r>
          </w:p>
        </w:tc>
        <w:tc>
          <w:tcPr>
            <w:tcW w:w="2875" w:type="dxa"/>
            <w:tcBorders>
              <w:top w:val="nil"/>
              <w:left w:val="nil"/>
              <w:bottom w:val="nil"/>
              <w:right w:val="single" w:sz="4" w:space="0" w:color="auto"/>
            </w:tcBorders>
          </w:tcPr>
          <w:p w:rsidR="008D5AF9" w:rsidRPr="00B24D0D" w:rsidRDefault="008D5AF9" w:rsidP="008D5AF9">
            <w:pPr>
              <w:jc w:val="center"/>
              <w:rPr>
                <w:rFonts w:cstheme="minorHAnsi"/>
                <w:sz w:val="24"/>
                <w:szCs w:val="24"/>
              </w:rPr>
            </w:pPr>
            <w:r w:rsidRPr="00B24D0D">
              <w:rPr>
                <w:rFonts w:cstheme="minorHAnsi"/>
                <w:sz w:val="24"/>
                <w:szCs w:val="24"/>
              </w:rPr>
              <w:t xml:space="preserve">Nej </w:t>
            </w:r>
          </w:p>
        </w:tc>
      </w:tr>
      <w:tr w:rsidR="008D5AF9" w:rsidRPr="00B24D0D" w:rsidTr="008D5AF9">
        <w:trPr>
          <w:trHeight w:val="771"/>
        </w:trPr>
        <w:tc>
          <w:tcPr>
            <w:tcW w:w="2594" w:type="dxa"/>
            <w:tcBorders>
              <w:top w:val="nil"/>
              <w:left w:val="single" w:sz="4" w:space="0" w:color="auto"/>
              <w:bottom w:val="single" w:sz="4" w:space="0" w:color="auto"/>
              <w:right w:val="nil"/>
            </w:tcBorders>
          </w:tcPr>
          <w:p w:rsidR="008D5AF9" w:rsidRPr="00B24D0D" w:rsidRDefault="008D5AF9" w:rsidP="008D5AF9">
            <w:pPr>
              <w:rPr>
                <w:rFonts w:cstheme="minorHAnsi"/>
                <w:sz w:val="24"/>
                <w:szCs w:val="24"/>
              </w:rPr>
            </w:pPr>
            <w:r w:rsidRPr="00B24D0D">
              <w:rPr>
                <w:rFonts w:cstheme="minorHAnsi"/>
                <w:sz w:val="24"/>
                <w:szCs w:val="24"/>
              </w:rPr>
              <w:t>Hepatitis C*</w:t>
            </w:r>
          </w:p>
        </w:tc>
        <w:tc>
          <w:tcPr>
            <w:tcW w:w="4331" w:type="dxa"/>
            <w:tcBorders>
              <w:top w:val="nil"/>
              <w:left w:val="nil"/>
              <w:bottom w:val="single" w:sz="4" w:space="0" w:color="auto"/>
              <w:right w:val="nil"/>
            </w:tcBorders>
          </w:tcPr>
          <w:p w:rsidR="008D5AF9" w:rsidRPr="00517214" w:rsidRDefault="008D5AF9" w:rsidP="00517214">
            <w:pPr>
              <w:pStyle w:val="Ingenafstand"/>
              <w:jc w:val="center"/>
              <w:rPr>
                <w:sz w:val="24"/>
                <w:szCs w:val="24"/>
              </w:rPr>
            </w:pPr>
            <w:r w:rsidRPr="00517214">
              <w:rPr>
                <w:sz w:val="24"/>
                <w:szCs w:val="24"/>
              </w:rPr>
              <w:t>Fra diagnose- eller smittetidspunkt,</w:t>
            </w:r>
          </w:p>
          <w:p w:rsidR="008D5AF9" w:rsidRPr="00517214" w:rsidRDefault="008D5AF9" w:rsidP="002D3B99">
            <w:pPr>
              <w:pStyle w:val="Ingenafstand"/>
              <w:jc w:val="center"/>
              <w:rPr>
                <w:rFonts w:cstheme="minorHAnsi"/>
                <w:sz w:val="24"/>
                <w:szCs w:val="24"/>
              </w:rPr>
            </w:pPr>
            <w:r w:rsidRPr="00517214">
              <w:rPr>
                <w:sz w:val="24"/>
                <w:szCs w:val="24"/>
              </w:rPr>
              <w:t>Såfremt index- og/eller kontakt er HIV-positiv</w:t>
            </w:r>
          </w:p>
          <w:p w:rsidR="008D5AF9" w:rsidRPr="00517214" w:rsidRDefault="008D5AF9" w:rsidP="00517214">
            <w:pPr>
              <w:jc w:val="center"/>
              <w:rPr>
                <w:rFonts w:cstheme="minorHAnsi"/>
                <w:sz w:val="24"/>
                <w:szCs w:val="24"/>
              </w:rPr>
            </w:pPr>
          </w:p>
        </w:tc>
        <w:tc>
          <w:tcPr>
            <w:tcW w:w="2875" w:type="dxa"/>
            <w:tcBorders>
              <w:top w:val="nil"/>
              <w:left w:val="nil"/>
              <w:bottom w:val="single" w:sz="4" w:space="0" w:color="auto"/>
              <w:right w:val="single" w:sz="4" w:space="0" w:color="auto"/>
            </w:tcBorders>
          </w:tcPr>
          <w:p w:rsidR="008D5AF9" w:rsidRPr="00B24D0D" w:rsidRDefault="008D5AF9" w:rsidP="008D5AF9">
            <w:pPr>
              <w:jc w:val="center"/>
              <w:rPr>
                <w:rFonts w:cstheme="minorHAnsi"/>
                <w:sz w:val="24"/>
                <w:szCs w:val="24"/>
              </w:rPr>
            </w:pPr>
            <w:r w:rsidRPr="00B24D0D">
              <w:rPr>
                <w:rFonts w:cstheme="minorHAnsi"/>
                <w:sz w:val="24"/>
                <w:szCs w:val="24"/>
              </w:rPr>
              <w:t xml:space="preserve">Nej </w:t>
            </w:r>
          </w:p>
        </w:tc>
      </w:tr>
    </w:tbl>
    <w:p w:rsidR="008D5AF9" w:rsidRPr="00B24D0D" w:rsidRDefault="008D5AF9" w:rsidP="008D5AF9">
      <w:pPr>
        <w:rPr>
          <w:rFonts w:cstheme="minorHAnsi"/>
          <w:sz w:val="24"/>
          <w:szCs w:val="24"/>
        </w:rPr>
      </w:pPr>
      <w:r w:rsidRPr="00B24D0D">
        <w:rPr>
          <w:rFonts w:cstheme="minorHAnsi"/>
          <w:sz w:val="24"/>
          <w:szCs w:val="24"/>
        </w:rPr>
        <w:t xml:space="preserve">* HUSK risiko for mor til barn smitte. </w:t>
      </w:r>
    </w:p>
    <w:p w:rsidR="008D5AF9" w:rsidRPr="00B24D0D" w:rsidRDefault="008D5AF9" w:rsidP="008D5AF9">
      <w:pPr>
        <w:rPr>
          <w:rFonts w:cstheme="minorHAnsi"/>
          <w:sz w:val="24"/>
          <w:szCs w:val="24"/>
        </w:rPr>
      </w:pPr>
      <w:r w:rsidRPr="00B24D0D">
        <w:rPr>
          <w:rFonts w:cstheme="minorHAnsi"/>
          <w:sz w:val="24"/>
          <w:szCs w:val="24"/>
        </w:rPr>
        <w:t>JURIDISKE FORPLIGTELSER</w:t>
      </w:r>
    </w:p>
    <w:p w:rsidR="008D5AF9" w:rsidRPr="00B24D0D" w:rsidRDefault="008D5AF9" w:rsidP="008D5AF9">
      <w:pPr>
        <w:rPr>
          <w:rFonts w:cstheme="minorHAnsi"/>
          <w:sz w:val="24"/>
          <w:szCs w:val="24"/>
        </w:rPr>
      </w:pPr>
      <w:r w:rsidRPr="00B24D0D">
        <w:rPr>
          <w:rFonts w:cstheme="minorHAnsi"/>
          <w:sz w:val="24"/>
          <w:szCs w:val="24"/>
        </w:rPr>
        <w:t xml:space="preserve">I Danmark, er det ikke lovpligtigt at foretage partneropsporing. I nogle tilfælde, f.eks. ved ny diagnosticeret HIV-smitte, er det muligt at søge hjælp til opgaven hos de juridiske konsulenter, som er tilknyttet hospitalerne. Hjælp til opsporing KAN afhænge af lokale kommunale og regionale aftaler. </w:t>
      </w:r>
    </w:p>
    <w:p w:rsidR="008D5AF9" w:rsidRPr="00B24D0D" w:rsidRDefault="008D5AF9" w:rsidP="008D5AF9">
      <w:pPr>
        <w:rPr>
          <w:rFonts w:cstheme="minorHAnsi"/>
          <w:sz w:val="24"/>
          <w:szCs w:val="24"/>
        </w:rPr>
      </w:pPr>
      <w:r w:rsidRPr="00B24D0D">
        <w:rPr>
          <w:rFonts w:cstheme="minorHAnsi"/>
          <w:sz w:val="24"/>
          <w:szCs w:val="24"/>
        </w:rPr>
        <w:t>HAR DU BRUG FOR MERE INFORMATION</w:t>
      </w:r>
    </w:p>
    <w:p w:rsidR="008D5AF9" w:rsidRPr="00B24D0D" w:rsidRDefault="008607AE" w:rsidP="008D5AF9">
      <w:pPr>
        <w:pStyle w:val="Listeafsnit"/>
        <w:numPr>
          <w:ilvl w:val="0"/>
          <w:numId w:val="34"/>
        </w:numPr>
        <w:spacing w:after="0" w:line="240" w:lineRule="auto"/>
        <w:rPr>
          <w:rFonts w:cstheme="minorHAnsi"/>
          <w:sz w:val="24"/>
          <w:szCs w:val="24"/>
        </w:rPr>
      </w:pPr>
      <w:hyperlink r:id="rId10" w:history="1">
        <w:r w:rsidR="008D5AF9" w:rsidRPr="00B24D0D">
          <w:rPr>
            <w:rStyle w:val="Hyperlink"/>
            <w:rFonts w:cstheme="minorHAnsi"/>
            <w:sz w:val="24"/>
            <w:szCs w:val="24"/>
          </w:rPr>
          <w:t>https://www.sst.dk/da/udgivelser/2015/anbefalinger-om-forebyggelse-diagnose-og-behandling-af-seksuelt-overfoerbare-infektioner</w:t>
        </w:r>
      </w:hyperlink>
      <w:r w:rsidR="008D5AF9">
        <w:rPr>
          <w:rFonts w:cstheme="minorHAnsi"/>
          <w:sz w:val="24"/>
          <w:szCs w:val="24"/>
        </w:rPr>
        <w:t xml:space="preserve">  </w:t>
      </w:r>
      <w:r w:rsidR="008D5AF9">
        <w:rPr>
          <w:rFonts w:cstheme="minorHAnsi"/>
          <w:noProof/>
          <w:sz w:val="24"/>
          <w:szCs w:val="24"/>
        </w:rPr>
        <w:t>(5)</w:t>
      </w:r>
    </w:p>
    <w:p w:rsidR="008D5AF9" w:rsidRPr="00B24D0D" w:rsidRDefault="008D5AF9" w:rsidP="008D5AF9">
      <w:pPr>
        <w:pStyle w:val="Listeafsnit"/>
        <w:rPr>
          <w:rFonts w:cstheme="minorHAnsi"/>
          <w:sz w:val="24"/>
          <w:szCs w:val="24"/>
        </w:rPr>
      </w:pPr>
    </w:p>
    <w:p w:rsidR="008D5AF9" w:rsidRPr="00B24D0D" w:rsidRDefault="008D5AF9" w:rsidP="008D5AF9">
      <w:pPr>
        <w:rPr>
          <w:rFonts w:cstheme="minorHAnsi"/>
          <w:sz w:val="24"/>
          <w:szCs w:val="24"/>
        </w:rPr>
      </w:pPr>
    </w:p>
    <w:p w:rsidR="008D5AF9" w:rsidRPr="00B24D0D" w:rsidRDefault="008D5AF9" w:rsidP="008D5AF9">
      <w:pPr>
        <w:rPr>
          <w:rFonts w:cstheme="minorHAnsi"/>
          <w:sz w:val="24"/>
          <w:szCs w:val="24"/>
        </w:rPr>
      </w:pPr>
    </w:p>
    <w:p w:rsidR="008D5AF9" w:rsidRPr="00F22B7F" w:rsidRDefault="008D5AF9" w:rsidP="008D5AF9">
      <w:pPr>
        <w:pStyle w:val="Overskrift2"/>
        <w:rPr>
          <w:rFonts w:asciiTheme="minorHAnsi" w:hAnsiTheme="minorHAnsi" w:cstheme="minorHAnsi"/>
          <w:sz w:val="24"/>
          <w:szCs w:val="24"/>
        </w:rPr>
      </w:pPr>
    </w:p>
    <w:p w:rsidR="008D5AF9" w:rsidRPr="00F22B7F" w:rsidRDefault="008D5AF9" w:rsidP="008D5AF9">
      <w:pPr>
        <w:pStyle w:val="Overskrift2"/>
        <w:rPr>
          <w:rFonts w:asciiTheme="minorHAnsi" w:hAnsiTheme="minorHAnsi" w:cstheme="minorHAnsi"/>
          <w:sz w:val="24"/>
          <w:szCs w:val="24"/>
        </w:rPr>
      </w:pPr>
    </w:p>
    <w:p w:rsidR="008D5AF9" w:rsidRPr="00F22B7F" w:rsidRDefault="008D5AF9" w:rsidP="008D5AF9"/>
    <w:p w:rsidR="008D5AF9" w:rsidRPr="00F22B7F" w:rsidRDefault="008D5AF9" w:rsidP="008D5AF9">
      <w:pPr>
        <w:pStyle w:val="Overskrift2"/>
        <w:rPr>
          <w:rFonts w:asciiTheme="minorHAnsi" w:hAnsiTheme="minorHAnsi" w:cstheme="minorHAnsi"/>
          <w:sz w:val="24"/>
          <w:szCs w:val="24"/>
        </w:rPr>
      </w:pPr>
    </w:p>
    <w:p w:rsidR="008D5AF9" w:rsidRPr="00F22B7F" w:rsidRDefault="008D5AF9" w:rsidP="008D5AF9">
      <w:pPr>
        <w:pStyle w:val="Overskrift2"/>
        <w:rPr>
          <w:rFonts w:asciiTheme="minorHAnsi" w:hAnsiTheme="minorHAnsi" w:cstheme="minorHAnsi"/>
          <w:sz w:val="24"/>
          <w:szCs w:val="24"/>
        </w:rPr>
      </w:pPr>
    </w:p>
    <w:p w:rsidR="008D5AF9" w:rsidRPr="00F22B7F" w:rsidRDefault="008D5AF9" w:rsidP="008D5AF9">
      <w:pPr>
        <w:pStyle w:val="Overskrift2"/>
        <w:rPr>
          <w:rFonts w:asciiTheme="minorHAnsi" w:hAnsiTheme="minorHAnsi" w:cstheme="minorHAnsi"/>
          <w:sz w:val="24"/>
          <w:szCs w:val="24"/>
        </w:rPr>
      </w:pPr>
    </w:p>
    <w:p w:rsidR="008D5AF9" w:rsidRPr="00F22B7F" w:rsidRDefault="008D5AF9" w:rsidP="008D5AF9">
      <w:pPr>
        <w:pStyle w:val="Overskrift2"/>
        <w:rPr>
          <w:rFonts w:asciiTheme="minorHAnsi" w:hAnsiTheme="minorHAnsi" w:cstheme="minorHAnsi"/>
          <w:sz w:val="24"/>
          <w:szCs w:val="24"/>
        </w:rPr>
      </w:pPr>
    </w:p>
    <w:p w:rsidR="008D5AF9" w:rsidRPr="00F22B7F" w:rsidRDefault="008D5AF9" w:rsidP="008D5AF9"/>
    <w:p w:rsidR="008D5AF9" w:rsidRPr="00F22B7F" w:rsidRDefault="008D5AF9" w:rsidP="008D5AF9"/>
    <w:p w:rsidR="008D5AF9" w:rsidRDefault="008D5AF9" w:rsidP="008D5AF9"/>
    <w:p w:rsidR="008D5AF9" w:rsidRDefault="008D5AF9" w:rsidP="008D5AF9"/>
    <w:p w:rsidR="008D5AF9" w:rsidRDefault="008D5AF9" w:rsidP="008D5AF9"/>
    <w:p w:rsidR="008D5AF9" w:rsidRDefault="008D5AF9" w:rsidP="008D5AF9"/>
    <w:p w:rsidR="008D5AF9" w:rsidRDefault="008D5AF9" w:rsidP="008D5AF9"/>
    <w:p w:rsidR="008D5AF9" w:rsidRDefault="008D5AF9" w:rsidP="008D5AF9"/>
    <w:p w:rsidR="008D5AF9" w:rsidRDefault="008D5AF9" w:rsidP="008D5AF9"/>
    <w:p w:rsidR="008D5AF9" w:rsidRPr="00F22B7F" w:rsidRDefault="008D5AF9" w:rsidP="008D5AF9"/>
    <w:p w:rsidR="008D5AF9" w:rsidRPr="00F22B7F" w:rsidRDefault="008D5AF9" w:rsidP="008D5AF9">
      <w:pPr>
        <w:pStyle w:val="Overskrift2"/>
        <w:rPr>
          <w:rFonts w:asciiTheme="minorHAnsi" w:hAnsiTheme="minorHAnsi" w:cstheme="minorHAnsi"/>
          <w:sz w:val="24"/>
          <w:szCs w:val="24"/>
        </w:rPr>
      </w:pPr>
    </w:p>
    <w:p w:rsidR="008D5AF9" w:rsidRPr="00F22B7F" w:rsidRDefault="008D5AF9" w:rsidP="008D5AF9">
      <w:pPr>
        <w:pStyle w:val="Overskrift2"/>
        <w:rPr>
          <w:rFonts w:asciiTheme="minorHAnsi" w:hAnsiTheme="minorHAnsi" w:cstheme="minorHAnsi"/>
          <w:sz w:val="24"/>
          <w:szCs w:val="24"/>
        </w:rPr>
      </w:pPr>
    </w:p>
    <w:p w:rsidR="008D5AF9" w:rsidRPr="00DE7D15" w:rsidRDefault="008D5AF9" w:rsidP="008D5AF9">
      <w:pPr>
        <w:pStyle w:val="Overskrift2"/>
        <w:rPr>
          <w:rFonts w:asciiTheme="minorHAnsi" w:hAnsiTheme="minorHAnsi" w:cstheme="minorHAnsi"/>
          <w:sz w:val="28"/>
          <w:szCs w:val="28"/>
          <w:lang w:val="en-US"/>
        </w:rPr>
      </w:pPr>
      <w:bookmarkStart w:id="19" w:name="_Toc86222549"/>
      <w:r w:rsidRPr="00DE7D15">
        <w:rPr>
          <w:rFonts w:asciiTheme="minorHAnsi" w:hAnsiTheme="minorHAnsi" w:cstheme="minorHAnsi"/>
          <w:sz w:val="28"/>
          <w:szCs w:val="28"/>
          <w:lang w:val="en-US"/>
        </w:rPr>
        <w:t>Referencer</w:t>
      </w:r>
      <w:bookmarkEnd w:id="19"/>
    </w:p>
    <w:p w:rsidR="008D5AF9" w:rsidRPr="001515C0" w:rsidRDefault="008D5AF9" w:rsidP="008D5AF9">
      <w:pPr>
        <w:pStyle w:val="Overskrift2"/>
        <w:rPr>
          <w:rFonts w:asciiTheme="minorHAnsi" w:hAnsiTheme="minorHAnsi" w:cstheme="minorHAnsi"/>
          <w:sz w:val="24"/>
          <w:szCs w:val="24"/>
          <w:lang w:val="en-US"/>
        </w:rPr>
      </w:pP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1.</w:t>
      </w:r>
      <w:r w:rsidRPr="002D3B99">
        <w:rPr>
          <w:rFonts w:asciiTheme="minorHAnsi" w:hAnsiTheme="minorHAnsi" w:cstheme="minorHAnsi"/>
        </w:rPr>
        <w:tab/>
        <w:t>ECDC. European centre for disease prevention and control, Gonorrhoea. In: ECDC. Annual epidemiological report for 2018. Stockholm: ECDC; 2020. https://wwwecdceuropaeu/sites/default/files/documents/gonorrhoea-annual-epidemiological-report-2018pdf.</w:t>
      </w:r>
    </w:p>
    <w:p w:rsidR="008D5AF9" w:rsidRPr="002D3B99" w:rsidRDefault="008D5AF9" w:rsidP="002D3B99">
      <w:pPr>
        <w:pStyle w:val="EndNoteBibliography"/>
        <w:spacing w:after="0"/>
        <w:rPr>
          <w:rFonts w:asciiTheme="minorHAnsi" w:hAnsiTheme="minorHAnsi" w:cstheme="minorHAnsi"/>
          <w:lang w:val="da-DK"/>
        </w:rPr>
      </w:pPr>
      <w:r w:rsidRPr="002D3B99">
        <w:rPr>
          <w:rFonts w:asciiTheme="minorHAnsi" w:hAnsiTheme="minorHAnsi" w:cstheme="minorHAnsi"/>
          <w:lang w:val="da-DK"/>
        </w:rPr>
        <w:t>2.</w:t>
      </w:r>
      <w:r w:rsidRPr="002D3B99">
        <w:rPr>
          <w:rFonts w:asciiTheme="minorHAnsi" w:hAnsiTheme="minorHAnsi" w:cstheme="minorHAnsi"/>
          <w:lang w:val="da-DK"/>
        </w:rPr>
        <w:tab/>
        <w:t>SST. Statens Seruminstitut, Gonorré  - opgørelse over sygdomsforekomst 2018, (senest redigeret den 4. september 2019). https://wwwssidkgdomme-beredskab-og-forskning/sygdomsovervaagning/g/gonorre-opgoerelse-over-sygdomsforekomst-2018 (tilgået 9 juni 2021).</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3.</w:t>
      </w:r>
      <w:r w:rsidRPr="002D3B99">
        <w:rPr>
          <w:rFonts w:asciiTheme="minorHAnsi" w:hAnsiTheme="minorHAnsi" w:cstheme="minorHAnsi"/>
        </w:rPr>
        <w:tab/>
        <w:t>Unemo M, Ross J, Serwin A, Gomberg M, Cusini M, Jensen J. 2020 European guideline for the diagnosis and treatment of gonorrhoea in adults. Int J STD AIDS.October 2020. doi:10.1177/0956462420949126.</w:t>
      </w:r>
    </w:p>
    <w:p w:rsidR="008D5AF9" w:rsidRPr="002D3B99" w:rsidRDefault="008D5AF9" w:rsidP="002D3B99">
      <w:pPr>
        <w:pStyle w:val="EndNoteBibliography"/>
        <w:spacing w:after="0"/>
        <w:rPr>
          <w:rFonts w:asciiTheme="minorHAnsi" w:hAnsiTheme="minorHAnsi" w:cstheme="minorHAnsi"/>
          <w:lang w:val="da-DK"/>
        </w:rPr>
      </w:pPr>
      <w:r w:rsidRPr="002D3B99">
        <w:rPr>
          <w:rFonts w:asciiTheme="minorHAnsi" w:hAnsiTheme="minorHAnsi" w:cstheme="minorHAnsi"/>
        </w:rPr>
        <w:t>4.</w:t>
      </w:r>
      <w:r w:rsidRPr="002D3B99">
        <w:rPr>
          <w:rFonts w:asciiTheme="minorHAnsi" w:hAnsiTheme="minorHAnsi" w:cstheme="minorHAnsi"/>
        </w:rPr>
        <w:tab/>
        <w:t xml:space="preserve">Kimberly A, Workowski KA, Bachmann LH, Chan PA, Johnston CM, Muzny CA, et al. </w:t>
      </w:r>
      <w:r w:rsidRPr="002D3B99">
        <w:rPr>
          <w:rFonts w:asciiTheme="minorHAnsi" w:hAnsiTheme="minorHAnsi" w:cstheme="minorHAnsi"/>
          <w:lang w:val="da-DK"/>
        </w:rPr>
        <w:t>Sexually Transmitted Infections Treatment Guidelines, 2021, Gonococcal infections.2021. 71-80 p.</w:t>
      </w:r>
    </w:p>
    <w:p w:rsidR="008D5AF9" w:rsidRPr="00F84633" w:rsidRDefault="008D5AF9" w:rsidP="002D3B99">
      <w:pPr>
        <w:pStyle w:val="EndNoteBibliography"/>
        <w:spacing w:after="0"/>
        <w:rPr>
          <w:rFonts w:asciiTheme="minorHAnsi" w:hAnsiTheme="minorHAnsi" w:cstheme="minorHAnsi"/>
          <w:lang w:val="da-DK"/>
        </w:rPr>
      </w:pPr>
      <w:r w:rsidRPr="002D3B99">
        <w:rPr>
          <w:rFonts w:asciiTheme="minorHAnsi" w:hAnsiTheme="minorHAnsi" w:cstheme="minorHAnsi"/>
          <w:lang w:val="da-DK"/>
        </w:rPr>
        <w:t>5.</w:t>
      </w:r>
      <w:r w:rsidRPr="002D3B99">
        <w:rPr>
          <w:rFonts w:asciiTheme="minorHAnsi" w:hAnsiTheme="minorHAnsi" w:cstheme="minorHAnsi"/>
          <w:lang w:val="da-DK"/>
        </w:rPr>
        <w:tab/>
        <w:t>Sundhedsstyrelsen:. Anbefalinger om forebyggelse, diagnose og behandling af seksuelt overførbare infektioner 2015.</w:t>
      </w:r>
      <w:r w:rsidR="00F84633" w:rsidRPr="00F84633">
        <w:rPr>
          <w:lang w:val="da-DK"/>
        </w:rPr>
        <w:t xml:space="preserve"> </w:t>
      </w:r>
      <w:r w:rsidR="00F84633">
        <w:rPr>
          <w:lang w:val="da-DK"/>
        </w:rPr>
        <w:t>h</w:t>
      </w:r>
      <w:r w:rsidR="00F84633" w:rsidRPr="00F84633">
        <w:rPr>
          <w:rFonts w:asciiTheme="minorHAnsi" w:hAnsiTheme="minorHAnsi" w:cstheme="minorHAnsi"/>
          <w:lang w:val="da-DK"/>
        </w:rPr>
        <w:t>ttps://www.sst.dk/da/udgivelser/2015/anbefalinger-om-forebyggelse-diagnose-og-behandling-af-seksuelt-overfoerbare-infektioner</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lang w:val="da-DK"/>
        </w:rPr>
        <w:t>6.</w:t>
      </w:r>
      <w:r w:rsidRPr="002D3B99">
        <w:rPr>
          <w:rFonts w:asciiTheme="minorHAnsi" w:hAnsiTheme="minorHAnsi" w:cstheme="minorHAnsi"/>
          <w:lang w:val="da-DK"/>
        </w:rPr>
        <w:tab/>
        <w:t xml:space="preserve">Street EJ, Justice ED, Kopa Z, Portman MD, Ross JD, Skerlev M, et al. </w:t>
      </w:r>
      <w:r w:rsidRPr="002D3B99">
        <w:rPr>
          <w:rFonts w:asciiTheme="minorHAnsi" w:hAnsiTheme="minorHAnsi" w:cstheme="minorHAnsi"/>
        </w:rPr>
        <w:t>The 2016 European guideline on the management of epididymo-orchitis. Int J STD AIDS. 2017;28(8):744-</w:t>
      </w:r>
      <w:r w:rsidR="00F84633">
        <w:rPr>
          <w:rFonts w:asciiTheme="minorHAnsi" w:hAnsiTheme="minorHAnsi" w:cstheme="minorHAnsi"/>
        </w:rPr>
        <w:t>4</w:t>
      </w:r>
      <w:r w:rsidRPr="002D3B99">
        <w:rPr>
          <w:rFonts w:asciiTheme="minorHAnsi" w:hAnsiTheme="minorHAnsi" w:cstheme="minorHAnsi"/>
        </w:rPr>
        <w:t>9.</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7.</w:t>
      </w:r>
      <w:r w:rsidRPr="002D3B99">
        <w:rPr>
          <w:rFonts w:asciiTheme="minorHAnsi" w:hAnsiTheme="minorHAnsi" w:cstheme="minorHAnsi"/>
        </w:rPr>
        <w:tab/>
        <w:t>Ross J, Guaschino S, Cusini M. 2017 European guideline for the management of pelvic inflammatory disease. Int J STD AIDS. 2018;29(2):108-14.</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8.</w:t>
      </w:r>
      <w:r w:rsidRPr="002D3B99">
        <w:rPr>
          <w:rFonts w:asciiTheme="minorHAnsi" w:hAnsiTheme="minorHAnsi" w:cstheme="minorHAnsi"/>
        </w:rPr>
        <w:tab/>
        <w:t>Lanjouw E, Ouburg S, de Vries HJ, Stary A, Radcliffe K, Unemo M. 2015 European guideline on the management of Chlamydia trachomatis infections. Int J STD AIDS. 2016 27(5):333-48.</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9.</w:t>
      </w:r>
      <w:r w:rsidRPr="002D3B99">
        <w:rPr>
          <w:rFonts w:asciiTheme="minorHAnsi" w:hAnsiTheme="minorHAnsi" w:cstheme="minorHAnsi"/>
        </w:rPr>
        <w:tab/>
        <w:t>Horner PJ, Blee K, Falk L, van der Meijden W, Moi H. 2016 European guideline on the management of non-gonococcal urethritis. Int J STD AIDS. 2016;27(11):928-37.</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10.</w:t>
      </w:r>
      <w:r w:rsidRPr="002D3B99">
        <w:rPr>
          <w:rFonts w:asciiTheme="minorHAnsi" w:hAnsiTheme="minorHAnsi" w:cstheme="minorHAnsi"/>
        </w:rPr>
        <w:tab/>
        <w:t>Carlin EM, Ziza JM, Keat A, Janier M. 2014 European Guideline on the management of sexually acquired reactive arthritis. Int J STD AIDS. 2014;25(13):901-12.</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11.</w:t>
      </w:r>
      <w:r w:rsidRPr="002D3B99">
        <w:rPr>
          <w:rFonts w:asciiTheme="minorHAnsi" w:hAnsiTheme="minorHAnsi" w:cstheme="minorHAnsi"/>
        </w:rPr>
        <w:tab/>
        <w:t>Falk L, Coble BI, Mjörnberg PA, Fredlund H. Sampling for Chlamydia trachomatis infection – a comparison of vaginal, first-catch urine, combined vaginal and first-catch urine and endocervical sampling. Int J STD AIDS. 2010;21(4):283-</w:t>
      </w:r>
      <w:r w:rsidR="00F84633">
        <w:rPr>
          <w:rFonts w:asciiTheme="minorHAnsi" w:hAnsiTheme="minorHAnsi" w:cstheme="minorHAnsi"/>
        </w:rPr>
        <w:t>8</w:t>
      </w:r>
      <w:r w:rsidRPr="002D3B99">
        <w:rPr>
          <w:rFonts w:asciiTheme="minorHAnsi" w:hAnsiTheme="minorHAnsi" w:cstheme="minorHAnsi"/>
        </w:rPr>
        <w:t>7.</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12.</w:t>
      </w:r>
      <w:r w:rsidRPr="002D3B99">
        <w:rPr>
          <w:rFonts w:asciiTheme="minorHAnsi" w:hAnsiTheme="minorHAnsi" w:cstheme="minorHAnsi"/>
        </w:rPr>
        <w:tab/>
        <w:t>Pittaras TE, Papaparaskevas J, Houhoula DP, Legakis NJ, Frangouli E, Katsambas A, et al. Comparison of penile skin swab with intra-urethral swab and first void urine for polymerase chain reaction-based diagnosis of Chlamydia trachomatis urethritis in male patients. .  . Sex Transm Dis. 2008;35(12):999-1001.</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13.</w:t>
      </w:r>
      <w:r w:rsidRPr="002D3B99">
        <w:rPr>
          <w:rFonts w:asciiTheme="minorHAnsi" w:hAnsiTheme="minorHAnsi" w:cstheme="minorHAnsi"/>
        </w:rPr>
        <w:tab/>
        <w:t>de Vries HJC, de Barbeyrac B, de Vrieze NHN, Viset JD, White JA, Vall-Mayans M, et al. 2019 European guideline on the management of lymphogranuloma venereum. J Eur Acad Dermatol Venereol. 2019;33(10):1821-</w:t>
      </w:r>
      <w:r w:rsidR="00F84633">
        <w:rPr>
          <w:rFonts w:asciiTheme="minorHAnsi" w:hAnsiTheme="minorHAnsi" w:cstheme="minorHAnsi"/>
        </w:rPr>
        <w:t>28</w:t>
      </w:r>
      <w:r w:rsidRPr="002D3B99">
        <w:rPr>
          <w:rFonts w:asciiTheme="minorHAnsi" w:hAnsiTheme="minorHAnsi" w:cstheme="minorHAnsi"/>
        </w:rPr>
        <w:t>.</w:t>
      </w:r>
    </w:p>
    <w:p w:rsidR="008D5AF9" w:rsidRPr="002D3B99" w:rsidRDefault="008D5AF9" w:rsidP="002D3B99">
      <w:pPr>
        <w:pStyle w:val="EndNoteBibliography"/>
        <w:spacing w:after="0"/>
        <w:rPr>
          <w:rFonts w:asciiTheme="minorHAnsi" w:hAnsiTheme="minorHAnsi" w:cstheme="minorHAnsi"/>
          <w:lang w:val="da-DK"/>
        </w:rPr>
      </w:pPr>
      <w:r w:rsidRPr="002D3B99">
        <w:rPr>
          <w:rFonts w:asciiTheme="minorHAnsi" w:hAnsiTheme="minorHAnsi" w:cstheme="minorHAnsi"/>
        </w:rPr>
        <w:t>14.</w:t>
      </w:r>
      <w:r w:rsidRPr="002D3B99">
        <w:rPr>
          <w:rFonts w:asciiTheme="minorHAnsi" w:hAnsiTheme="minorHAnsi" w:cstheme="minorHAnsi"/>
        </w:rPr>
        <w:tab/>
        <w:t xml:space="preserve">Jensen JS, Cusini M, Gomberg M, Moi H, Wilson J, Unemo M. 2021 European guideline on the management of Mycoplasma genitalium infections. </w:t>
      </w:r>
      <w:r w:rsidRPr="002D3B99">
        <w:rPr>
          <w:rFonts w:asciiTheme="minorHAnsi" w:hAnsiTheme="minorHAnsi" w:cstheme="minorHAnsi"/>
          <w:lang w:val="da-DK"/>
        </w:rPr>
        <w:t>[I HØRING].</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lang w:val="da-DK"/>
        </w:rPr>
        <w:t>15.</w:t>
      </w:r>
      <w:r w:rsidRPr="002D3B99">
        <w:rPr>
          <w:rFonts w:asciiTheme="minorHAnsi" w:hAnsiTheme="minorHAnsi" w:cstheme="minorHAnsi"/>
          <w:lang w:val="da-DK"/>
        </w:rPr>
        <w:tab/>
        <w:t xml:space="preserve">Cohen CR, Manhart LE, Bukusi EA, Astete S, Brunham RC, Holmes KK, et al. </w:t>
      </w:r>
      <w:r w:rsidRPr="002D3B99">
        <w:rPr>
          <w:rFonts w:asciiTheme="minorHAnsi" w:hAnsiTheme="minorHAnsi" w:cstheme="minorHAnsi"/>
        </w:rPr>
        <w:t>Association between Mycoplasma genitalium and acute endometritis. Lancet HIV. 2002;359(9308):765-</w:t>
      </w:r>
      <w:r w:rsidR="00F84633">
        <w:rPr>
          <w:rFonts w:asciiTheme="minorHAnsi" w:hAnsiTheme="minorHAnsi" w:cstheme="minorHAnsi"/>
        </w:rPr>
        <w:t>6</w:t>
      </w:r>
      <w:r w:rsidRPr="002D3B99">
        <w:rPr>
          <w:rFonts w:asciiTheme="minorHAnsi" w:hAnsiTheme="minorHAnsi" w:cstheme="minorHAnsi"/>
        </w:rPr>
        <w:t>6.</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16.</w:t>
      </w:r>
      <w:r w:rsidRPr="002D3B99">
        <w:rPr>
          <w:rFonts w:asciiTheme="minorHAnsi" w:hAnsiTheme="minorHAnsi" w:cstheme="minorHAnsi"/>
        </w:rPr>
        <w:tab/>
        <w:t>Manhart LE, Critchlow CW, Holmes KK, Dutro SM, Eschenbach DA, Stevens CE, et al. Mucopurulent cervicitis and Mycoplasma genitalium. J Infect Dis. 2003;187(4):650-7.</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17.</w:t>
      </w:r>
      <w:r w:rsidRPr="002D3B99">
        <w:rPr>
          <w:rFonts w:asciiTheme="minorHAnsi" w:hAnsiTheme="minorHAnsi" w:cstheme="minorHAnsi"/>
        </w:rPr>
        <w:tab/>
        <w:t>Cohen CR, Mugo NR, Astete SG, Odondo R, Manhart LE, Kiehlbauch JA, et al. Detection of Mycoplasma genitalium in women with laparoscopically diagnosed acute salpingitis. Sex Transm Infect. 2005;81(6): 463-</w:t>
      </w:r>
      <w:r w:rsidR="00F84633">
        <w:rPr>
          <w:rFonts w:asciiTheme="minorHAnsi" w:hAnsiTheme="minorHAnsi" w:cstheme="minorHAnsi"/>
        </w:rPr>
        <w:t>6</w:t>
      </w:r>
      <w:r w:rsidRPr="002D3B99">
        <w:rPr>
          <w:rFonts w:asciiTheme="minorHAnsi" w:hAnsiTheme="minorHAnsi" w:cstheme="minorHAnsi"/>
        </w:rPr>
        <w:t>6.</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18.</w:t>
      </w:r>
      <w:r w:rsidRPr="002D3B99">
        <w:rPr>
          <w:rFonts w:asciiTheme="minorHAnsi" w:hAnsiTheme="minorHAnsi" w:cstheme="minorHAnsi"/>
        </w:rPr>
        <w:tab/>
        <w:t>Anagrius C, Loré B, Jensen JS. Mycoplasma genitalium: prevalence, clinical significance, and transmission. Sex Transm Infect. 2005;81(6):458-62.</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19.</w:t>
      </w:r>
      <w:r w:rsidRPr="002D3B99">
        <w:rPr>
          <w:rFonts w:asciiTheme="minorHAnsi" w:hAnsiTheme="minorHAnsi" w:cstheme="minorHAnsi"/>
        </w:rPr>
        <w:tab/>
        <w:t>Falk L, Fredlund H, Jensen JS. Signs and symptoms of urethritis and cervicitis among women with or without Mycoplasma genitalium or Chlamydia trachomatis infection. Sex Transm Infect. 2005;81(1):73-</w:t>
      </w:r>
      <w:r w:rsidR="00F84633">
        <w:rPr>
          <w:rFonts w:asciiTheme="minorHAnsi" w:hAnsiTheme="minorHAnsi" w:cstheme="minorHAnsi"/>
        </w:rPr>
        <w:t>7</w:t>
      </w:r>
      <w:r w:rsidRPr="002D3B99">
        <w:rPr>
          <w:rFonts w:asciiTheme="minorHAnsi" w:hAnsiTheme="minorHAnsi" w:cstheme="minorHAnsi"/>
        </w:rPr>
        <w:t>8.</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20.</w:t>
      </w:r>
      <w:r w:rsidRPr="002D3B99">
        <w:rPr>
          <w:rFonts w:asciiTheme="minorHAnsi" w:hAnsiTheme="minorHAnsi" w:cstheme="minorHAnsi"/>
        </w:rPr>
        <w:tab/>
        <w:t>Lis R, Rowhani-Rahbar A, Manhart LE. Mycoplasma genitalium infection and female reproductive tract disease: a meta-analysis. Clin Infect Dis. 2015;61(3):418-26.</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21.</w:t>
      </w:r>
      <w:r w:rsidRPr="002D3B99">
        <w:rPr>
          <w:rFonts w:asciiTheme="minorHAnsi" w:hAnsiTheme="minorHAnsi" w:cstheme="minorHAnsi"/>
        </w:rPr>
        <w:tab/>
        <w:t>Eickhoff JH, Frimodt-Møller N, Walter S, Frimodt-Møller C. A double-blind, randomized, controlled multicentre study to compare the efficacy of ciprofloxacin with pivampicillin as oral therapy for epididymitis in men over 40 years of age. BJU Int. 1999;84(7):827-34.</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22.</w:t>
      </w:r>
      <w:r w:rsidRPr="002D3B99">
        <w:rPr>
          <w:rFonts w:asciiTheme="minorHAnsi" w:hAnsiTheme="minorHAnsi" w:cstheme="minorHAnsi"/>
        </w:rPr>
        <w:tab/>
        <w:t>Ito S, Tsuchiya T, Yasuda M, Yokoi S, Nakano M, Deguchi T. Prevalence of genital mycoplasmas and ureaplasmas in men younger than 40 years-of-age with acute epididymitis. Int J Urol. 2012;19(3):234-</w:t>
      </w:r>
      <w:r w:rsidR="00F84633">
        <w:rPr>
          <w:rFonts w:asciiTheme="minorHAnsi" w:hAnsiTheme="minorHAnsi" w:cstheme="minorHAnsi"/>
        </w:rPr>
        <w:t>3</w:t>
      </w:r>
      <w:r w:rsidRPr="002D3B99">
        <w:rPr>
          <w:rFonts w:asciiTheme="minorHAnsi" w:hAnsiTheme="minorHAnsi" w:cstheme="minorHAnsi"/>
        </w:rPr>
        <w:t>8.</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23.</w:t>
      </w:r>
      <w:r w:rsidRPr="002D3B99">
        <w:rPr>
          <w:rFonts w:asciiTheme="minorHAnsi" w:hAnsiTheme="minorHAnsi" w:cstheme="minorHAnsi"/>
        </w:rPr>
        <w:tab/>
        <w:t>Salado-Rasmussen K, Jensen JS. Mycoplasma genitalium testing pattern and macrolide resistance: A Danish nationwide retrospective survey. Clin Infect Dis. 2014;59(1):24-30.</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24.</w:t>
      </w:r>
      <w:r w:rsidRPr="002D3B99">
        <w:rPr>
          <w:rFonts w:asciiTheme="minorHAnsi" w:hAnsiTheme="minorHAnsi" w:cstheme="minorHAnsi"/>
        </w:rPr>
        <w:tab/>
        <w:t>Pond MJ, Nori AV, Witney AA, Lopeman RC, Butcher PD, Sadiq ST. High prevalence of antibiotic-resistant Mycoplasma genitalium in nongonococcal urethritis: the need for routine testing and the inadequacy of current treatment options. Clin Infect Dis. 2014;58(5):631-</w:t>
      </w:r>
      <w:r w:rsidR="00F84633">
        <w:rPr>
          <w:rFonts w:asciiTheme="minorHAnsi" w:hAnsiTheme="minorHAnsi" w:cstheme="minorHAnsi"/>
        </w:rPr>
        <w:t>3</w:t>
      </w:r>
      <w:r w:rsidRPr="002D3B99">
        <w:rPr>
          <w:rFonts w:asciiTheme="minorHAnsi" w:hAnsiTheme="minorHAnsi" w:cstheme="minorHAnsi"/>
        </w:rPr>
        <w:t>7.</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25.</w:t>
      </w:r>
      <w:r w:rsidRPr="002D3B99">
        <w:rPr>
          <w:rFonts w:asciiTheme="minorHAnsi" w:hAnsiTheme="minorHAnsi" w:cstheme="minorHAnsi"/>
        </w:rPr>
        <w:tab/>
        <w:t>Nijhuis RH, Severs TT, Van der Vegt DS, Van Zwet AA, Kusters JG. High levels of macrolide resistance-associated mutations in Mycoplasma genitalium warrant antibiotic susceptibility -guided treatment. J Antimicrob Chemother. 2015;70(9):2515-8.</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26.</w:t>
      </w:r>
      <w:r w:rsidRPr="002D3B99">
        <w:rPr>
          <w:rFonts w:asciiTheme="minorHAnsi" w:hAnsiTheme="minorHAnsi" w:cstheme="minorHAnsi"/>
        </w:rPr>
        <w:tab/>
        <w:t>Jensen JS, Bradshaw C. Management of Mycoplasma genitalium infections - can we hit a moving target? . BMC Infect Dis. 2015;15:343.</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27.</w:t>
      </w:r>
      <w:r w:rsidRPr="002D3B99">
        <w:rPr>
          <w:rFonts w:asciiTheme="minorHAnsi" w:hAnsiTheme="minorHAnsi" w:cstheme="minorHAnsi"/>
        </w:rPr>
        <w:tab/>
        <w:t>O'Farrell N, Hoosen AA, Coetzee KD, van den Ende J. Genital ulcer disease: accuracy of clinical diagnosis and strategies to improve control in Durban, South Africa. Genitourin Med. 1994;70(1):7-11.</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28.</w:t>
      </w:r>
      <w:r w:rsidRPr="002D3B99">
        <w:rPr>
          <w:rFonts w:asciiTheme="minorHAnsi" w:hAnsiTheme="minorHAnsi" w:cstheme="minorHAnsi"/>
        </w:rPr>
        <w:tab/>
        <w:t>Patel R, Kennedy OJ, Clarke E, Geretti A, Nilsen A, Lautenschlager S, et al. 2017 European guidelines for the management of genital herpes. Int J STD AIDS. 2017;28(14):1366-79.</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29.</w:t>
      </w:r>
      <w:r w:rsidRPr="002D3B99">
        <w:rPr>
          <w:rFonts w:asciiTheme="minorHAnsi" w:hAnsiTheme="minorHAnsi" w:cstheme="minorHAnsi"/>
        </w:rPr>
        <w:tab/>
        <w:t>Corey L, Wald A. Maternal and neonatal herpes simplex virus infections. N Engl J Med. 2009;361(14):1376-85.</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30.</w:t>
      </w:r>
      <w:r w:rsidRPr="002D3B99">
        <w:rPr>
          <w:rFonts w:asciiTheme="minorHAnsi" w:hAnsiTheme="minorHAnsi" w:cstheme="minorHAnsi"/>
        </w:rPr>
        <w:tab/>
        <w:t>Leeyaphan C, Surawan TM, Chirachanakul P, Prasertworonun N, Punyaratabandhu P, Omcharoen V, et al. Clinical characteristics of hypertrophic herpes simplex genitalis and treatment outcomes of imiquimod: a retrospective observational study. Int J Infect Dis. 2015;33:165-70.</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31.</w:t>
      </w:r>
      <w:r w:rsidRPr="002D3B99">
        <w:rPr>
          <w:rFonts w:asciiTheme="minorHAnsi" w:hAnsiTheme="minorHAnsi" w:cstheme="minorHAnsi"/>
        </w:rPr>
        <w:tab/>
        <w:t>Bangsgaard N, Skov L. Chronic genital ulceration due to herpes simplex infection treated successfully with imiquimod. Acta Derm Venereol. 2008;88(2):202-3.</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32.</w:t>
      </w:r>
      <w:r w:rsidRPr="002D3B99">
        <w:rPr>
          <w:rFonts w:asciiTheme="minorHAnsi" w:hAnsiTheme="minorHAnsi" w:cstheme="minorHAnsi"/>
        </w:rPr>
        <w:tab/>
        <w:t>Danielsen AG, Petersen CS, Iversen J. Chronic erosive herpes simplex virus infection of the penis in a human immunodeficiency virus-positive man, treated with imiquimod and famciclovir. Br J Dermatol. 2002;147(5):1034-36.</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33.</w:t>
      </w:r>
      <w:r w:rsidRPr="002D3B99">
        <w:rPr>
          <w:rFonts w:asciiTheme="minorHAnsi" w:hAnsiTheme="minorHAnsi" w:cstheme="minorHAnsi"/>
        </w:rPr>
        <w:tab/>
        <w:t>Muluneh B, Dean A, Armistead P, Khan T. Successful clearance of cutaneous acyclovir-resistant, foscarnet-refractory herpes virus lesions with topical cidofovir in an allogeneic hematopoietic stem cell transplant patient. J Oncol Pharm Pract. 2013;19(2):181-</w:t>
      </w:r>
      <w:r w:rsidR="00F84633">
        <w:rPr>
          <w:rFonts w:asciiTheme="minorHAnsi" w:hAnsiTheme="minorHAnsi" w:cstheme="minorHAnsi"/>
        </w:rPr>
        <w:t>8</w:t>
      </w:r>
      <w:r w:rsidRPr="002D3B99">
        <w:rPr>
          <w:rFonts w:asciiTheme="minorHAnsi" w:hAnsiTheme="minorHAnsi" w:cstheme="minorHAnsi"/>
        </w:rPr>
        <w:t>5.</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34.</w:t>
      </w:r>
      <w:r w:rsidRPr="002D3B99">
        <w:rPr>
          <w:rFonts w:asciiTheme="minorHAnsi" w:hAnsiTheme="minorHAnsi" w:cstheme="minorHAnsi"/>
        </w:rPr>
        <w:tab/>
        <w:t>Kimberly A, Workowski KA, Bachmann LH, Chan PA, Johnston CM, Muzny CA, et al. Sexually Transmitted Infections Treatment Guidelines, 2021. Genital herpes. MMWR Recomm Rep2021.</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3</w:t>
      </w:r>
      <w:r w:rsidR="002D3B99">
        <w:rPr>
          <w:rFonts w:asciiTheme="minorHAnsi" w:hAnsiTheme="minorHAnsi" w:cstheme="minorHAnsi"/>
        </w:rPr>
        <w:t>5</w:t>
      </w:r>
      <w:r w:rsidRPr="002D3B99">
        <w:rPr>
          <w:rFonts w:asciiTheme="minorHAnsi" w:hAnsiTheme="minorHAnsi" w:cstheme="minorHAnsi"/>
        </w:rPr>
        <w:t>.</w:t>
      </w:r>
      <w:r w:rsidRPr="002D3B99">
        <w:rPr>
          <w:rFonts w:asciiTheme="minorHAnsi" w:hAnsiTheme="minorHAnsi" w:cstheme="minorHAnsi"/>
        </w:rPr>
        <w:tab/>
        <w:t>Towns JM, Leslie DE, Denham I, Azzato F, Fairley CK, Chen M. Painful and multiple anogenital lesions are common in men with Treponema pallidum PCR-positive primary syphilis without herpes simplex virus coinfection: A cross-sectional clinic-based study. Sex Transm Infect. 2016;92(2):110-</w:t>
      </w:r>
      <w:r w:rsidR="00F84633">
        <w:rPr>
          <w:rFonts w:asciiTheme="minorHAnsi" w:hAnsiTheme="minorHAnsi" w:cstheme="minorHAnsi"/>
        </w:rPr>
        <w:t>1</w:t>
      </w:r>
      <w:r w:rsidRPr="002D3B99">
        <w:rPr>
          <w:rFonts w:asciiTheme="minorHAnsi" w:hAnsiTheme="minorHAnsi" w:cstheme="minorHAnsi"/>
        </w:rPr>
        <w:t>5.</w:t>
      </w:r>
    </w:p>
    <w:p w:rsid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3</w:t>
      </w:r>
      <w:r w:rsidR="002D3B99">
        <w:rPr>
          <w:rFonts w:asciiTheme="minorHAnsi" w:hAnsiTheme="minorHAnsi" w:cstheme="minorHAnsi"/>
        </w:rPr>
        <w:t>6</w:t>
      </w:r>
      <w:r w:rsidRPr="002D3B99">
        <w:rPr>
          <w:rFonts w:asciiTheme="minorHAnsi" w:hAnsiTheme="minorHAnsi" w:cstheme="minorHAnsi"/>
        </w:rPr>
        <w:t>.</w:t>
      </w:r>
      <w:r w:rsidRPr="002D3B99">
        <w:rPr>
          <w:rFonts w:asciiTheme="minorHAnsi" w:hAnsiTheme="minorHAnsi" w:cstheme="minorHAnsi"/>
        </w:rPr>
        <w:tab/>
        <w:t>Larsen CN, Larsen HK. Herpetiform Manifestation of Primary Syphilis: A Case Series. Acta Derm Venereol. 2020;100(6):adv00072.</w:t>
      </w:r>
      <w:r w:rsidR="002D3B99" w:rsidRPr="002D3B99">
        <w:rPr>
          <w:rFonts w:asciiTheme="minorHAnsi" w:hAnsiTheme="minorHAnsi" w:cstheme="minorHAnsi"/>
        </w:rPr>
        <w:t xml:space="preserve"> </w:t>
      </w:r>
    </w:p>
    <w:p w:rsidR="008D5AF9" w:rsidRPr="002D3B99" w:rsidRDefault="002D3B99" w:rsidP="002D3B99">
      <w:pPr>
        <w:pStyle w:val="EndNoteBibliography"/>
        <w:spacing w:after="0"/>
        <w:rPr>
          <w:rFonts w:asciiTheme="minorHAnsi" w:hAnsiTheme="minorHAnsi" w:cstheme="minorHAnsi"/>
        </w:rPr>
      </w:pPr>
      <w:r w:rsidRPr="002D3B99">
        <w:rPr>
          <w:rFonts w:asciiTheme="minorHAnsi" w:hAnsiTheme="minorHAnsi" w:cstheme="minorHAnsi"/>
        </w:rPr>
        <w:t>3</w:t>
      </w:r>
      <w:r>
        <w:rPr>
          <w:rFonts w:asciiTheme="minorHAnsi" w:hAnsiTheme="minorHAnsi" w:cstheme="minorHAnsi"/>
        </w:rPr>
        <w:t>7</w:t>
      </w:r>
      <w:r w:rsidRPr="002D3B99">
        <w:rPr>
          <w:rFonts w:asciiTheme="minorHAnsi" w:hAnsiTheme="minorHAnsi" w:cstheme="minorHAnsi"/>
        </w:rPr>
        <w:t>.</w:t>
      </w:r>
      <w:r w:rsidRPr="002D3B99">
        <w:rPr>
          <w:rFonts w:asciiTheme="minorHAnsi" w:hAnsiTheme="minorHAnsi" w:cstheme="minorHAnsi"/>
        </w:rPr>
        <w:tab/>
        <w:t>Janier M, Unemo M, Dupin N, Tiplic GS, Potocnik M, Patel R. 2020 European guideline on the management of syphilis. J Eur Acad Dermatol Venereol. 2021;35:574-88.</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38.</w:t>
      </w:r>
      <w:r w:rsidRPr="002D3B99">
        <w:rPr>
          <w:rFonts w:asciiTheme="minorHAnsi" w:hAnsiTheme="minorHAnsi" w:cstheme="minorHAnsi"/>
        </w:rPr>
        <w:tab/>
        <w:t>Lautenschlager S, Kemp M, Christensen JJ, Mayans MV, Moi H. 2017 European guideline for the management of chancroid. Int J STD AIDS. 2017;28(4):324-</w:t>
      </w:r>
      <w:r w:rsidR="00F84633">
        <w:rPr>
          <w:rFonts w:asciiTheme="minorHAnsi" w:hAnsiTheme="minorHAnsi" w:cstheme="minorHAnsi"/>
        </w:rPr>
        <w:t>2</w:t>
      </w:r>
      <w:r w:rsidRPr="002D3B99">
        <w:rPr>
          <w:rFonts w:asciiTheme="minorHAnsi" w:hAnsiTheme="minorHAnsi" w:cstheme="minorHAnsi"/>
        </w:rPr>
        <w:t>9.</w:t>
      </w:r>
    </w:p>
    <w:p w:rsidR="008D5AF9" w:rsidRPr="002D3B99" w:rsidRDefault="008D5AF9" w:rsidP="002D3B99">
      <w:pPr>
        <w:pStyle w:val="EndNoteBibliography"/>
        <w:spacing w:after="0"/>
        <w:rPr>
          <w:rFonts w:asciiTheme="minorHAnsi" w:hAnsiTheme="minorHAnsi" w:cstheme="minorHAnsi"/>
          <w:lang w:val="da-DK"/>
        </w:rPr>
      </w:pPr>
      <w:r w:rsidRPr="002D3B99">
        <w:rPr>
          <w:rFonts w:asciiTheme="minorHAnsi" w:hAnsiTheme="minorHAnsi" w:cstheme="minorHAnsi"/>
        </w:rPr>
        <w:t>39.</w:t>
      </w:r>
      <w:r w:rsidRPr="002D3B99">
        <w:rPr>
          <w:rFonts w:asciiTheme="minorHAnsi" w:hAnsiTheme="minorHAnsi" w:cstheme="minorHAnsi"/>
        </w:rPr>
        <w:tab/>
        <w:t xml:space="preserve">Holst H, Hartmann-Petersen S, Dargis R, Andresen K, Christensen JJ, Kemp M. Ulcus molle. </w:t>
      </w:r>
      <w:r w:rsidRPr="002D3B99">
        <w:rPr>
          <w:rFonts w:asciiTheme="minorHAnsi" w:hAnsiTheme="minorHAnsi" w:cstheme="minorHAnsi"/>
          <w:lang w:val="da-DK"/>
        </w:rPr>
        <w:t>Ugeskr Læger. 2007;169(22):2124.</w:t>
      </w:r>
    </w:p>
    <w:p w:rsidR="008D5AF9" w:rsidRPr="002D3B99" w:rsidRDefault="008D5AF9" w:rsidP="002D3B99">
      <w:pPr>
        <w:pStyle w:val="EndNoteBibliography"/>
        <w:spacing w:after="0"/>
        <w:rPr>
          <w:rFonts w:asciiTheme="minorHAnsi" w:hAnsiTheme="minorHAnsi" w:cstheme="minorHAnsi"/>
          <w:lang w:val="da-DK"/>
        </w:rPr>
      </w:pPr>
      <w:r w:rsidRPr="002D3B99">
        <w:rPr>
          <w:rFonts w:asciiTheme="minorHAnsi" w:hAnsiTheme="minorHAnsi" w:cstheme="minorHAnsi"/>
          <w:lang w:val="da-DK"/>
        </w:rPr>
        <w:t>40.</w:t>
      </w:r>
      <w:r w:rsidRPr="002D3B99">
        <w:rPr>
          <w:rFonts w:asciiTheme="minorHAnsi" w:hAnsiTheme="minorHAnsi" w:cstheme="minorHAnsi"/>
          <w:lang w:val="da-DK"/>
        </w:rPr>
        <w:tab/>
        <w:t>Knudsen TB, Sand C, Jensen JS. Import og lokal transmission af Haemophilus ducreyi. Ugeskr Læger. 2010;172(30):2121-</w:t>
      </w:r>
      <w:r w:rsidR="00F84633">
        <w:rPr>
          <w:rFonts w:asciiTheme="minorHAnsi" w:hAnsiTheme="minorHAnsi" w:cstheme="minorHAnsi"/>
          <w:lang w:val="da-DK"/>
        </w:rPr>
        <w:t>2</w:t>
      </w:r>
      <w:r w:rsidRPr="002D3B99">
        <w:rPr>
          <w:rFonts w:asciiTheme="minorHAnsi" w:hAnsiTheme="minorHAnsi" w:cstheme="minorHAnsi"/>
          <w:lang w:val="da-DK"/>
        </w:rPr>
        <w:t>2.</w:t>
      </w:r>
    </w:p>
    <w:p w:rsidR="008D5AF9" w:rsidRPr="002D3B99" w:rsidRDefault="008D5AF9" w:rsidP="002D3B99">
      <w:pPr>
        <w:pStyle w:val="EndNoteBibliography"/>
        <w:spacing w:after="0"/>
        <w:rPr>
          <w:rFonts w:asciiTheme="minorHAnsi" w:hAnsiTheme="minorHAnsi" w:cstheme="minorHAnsi"/>
          <w:lang w:val="da-DK"/>
        </w:rPr>
      </w:pPr>
      <w:r w:rsidRPr="002D3B99">
        <w:rPr>
          <w:rFonts w:asciiTheme="minorHAnsi" w:hAnsiTheme="minorHAnsi" w:cstheme="minorHAnsi"/>
          <w:lang w:val="da-DK"/>
        </w:rPr>
        <w:t>41.</w:t>
      </w:r>
      <w:r w:rsidRPr="002D3B99">
        <w:rPr>
          <w:rFonts w:asciiTheme="minorHAnsi" w:hAnsiTheme="minorHAnsi" w:cstheme="minorHAnsi"/>
          <w:lang w:val="da-DK"/>
        </w:rPr>
        <w:tab/>
        <w:t>Hoffmann S. Klamydia 2006. EPI-NYT, Statens Serum Institut. 2007;uge 19.</w:t>
      </w:r>
    </w:p>
    <w:p w:rsidR="008D5AF9" w:rsidRPr="002D3B99" w:rsidRDefault="008D5AF9" w:rsidP="002D3B99">
      <w:pPr>
        <w:pStyle w:val="EndNoteBibliography"/>
        <w:spacing w:after="0"/>
        <w:rPr>
          <w:rFonts w:asciiTheme="minorHAnsi" w:hAnsiTheme="minorHAnsi" w:cstheme="minorHAnsi"/>
          <w:lang w:val="da-DK"/>
        </w:rPr>
      </w:pPr>
      <w:r w:rsidRPr="002D3B99">
        <w:rPr>
          <w:rFonts w:asciiTheme="minorHAnsi" w:hAnsiTheme="minorHAnsi" w:cstheme="minorHAnsi"/>
          <w:lang w:val="da-DK"/>
        </w:rPr>
        <w:t>42.</w:t>
      </w:r>
      <w:r w:rsidRPr="002D3B99">
        <w:rPr>
          <w:rFonts w:asciiTheme="minorHAnsi" w:hAnsiTheme="minorHAnsi" w:cstheme="minorHAnsi"/>
          <w:lang w:val="da-DK"/>
        </w:rPr>
        <w:tab/>
        <w:t>Hoffmann S, Bjerre KD. Klamydia 2018. EPI-NYT, Statens Serum Institut. 2019;uge 38.</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lang w:val="da-DK"/>
        </w:rPr>
        <w:t>43.</w:t>
      </w:r>
      <w:r w:rsidRPr="002D3B99">
        <w:rPr>
          <w:rFonts w:asciiTheme="minorHAnsi" w:hAnsiTheme="minorHAnsi" w:cstheme="minorHAnsi"/>
          <w:lang w:val="da-DK"/>
        </w:rPr>
        <w:tab/>
        <w:t xml:space="preserve">Cowan S, Jensen JS, Hoffmann S, Kiszka-Kanowitz M. Rektal Lymfogranuloma venereum i København. </w:t>
      </w:r>
      <w:r w:rsidRPr="002D3B99">
        <w:rPr>
          <w:rFonts w:asciiTheme="minorHAnsi" w:hAnsiTheme="minorHAnsi" w:cstheme="minorHAnsi"/>
        </w:rPr>
        <w:t>EPI-NYT, Statens Serum Institut. 2007;uge 48.</w:t>
      </w:r>
    </w:p>
    <w:p w:rsidR="008D5AF9" w:rsidRPr="002D3B99" w:rsidRDefault="008D5AF9" w:rsidP="002D3B99">
      <w:pPr>
        <w:pStyle w:val="EndNoteBibliography"/>
        <w:spacing w:after="0"/>
        <w:rPr>
          <w:rFonts w:asciiTheme="minorHAnsi" w:hAnsiTheme="minorHAnsi" w:cstheme="minorHAnsi"/>
          <w:lang w:val="da-DK"/>
        </w:rPr>
      </w:pPr>
      <w:r w:rsidRPr="002D3B99">
        <w:rPr>
          <w:rFonts w:asciiTheme="minorHAnsi" w:hAnsiTheme="minorHAnsi" w:cstheme="minorHAnsi"/>
        </w:rPr>
        <w:t>44.</w:t>
      </w:r>
      <w:r w:rsidRPr="002D3B99">
        <w:rPr>
          <w:rFonts w:asciiTheme="minorHAnsi" w:hAnsiTheme="minorHAnsi" w:cstheme="minorHAnsi"/>
        </w:rPr>
        <w:tab/>
        <w:t xml:space="preserve">de Vries HJC, Nori AV, Kiellberg Larsen H, Kreuter A, Padovese V, Pallawela S, et al. 2021 European Guideline on the management of proctitis, proctocolitis and enteritis caused by sexually transmissible pathogens. </w:t>
      </w:r>
      <w:r w:rsidRPr="002D3B99">
        <w:rPr>
          <w:rFonts w:asciiTheme="minorHAnsi" w:hAnsiTheme="minorHAnsi" w:cstheme="minorHAnsi"/>
          <w:lang w:val="da-DK"/>
        </w:rPr>
        <w:t>J Eur Acad Dermatol Venereol. 2021;35(7):1434-43.</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lang w:val="da-DK"/>
        </w:rPr>
        <w:t>45.</w:t>
      </w:r>
      <w:r w:rsidRPr="002D3B99">
        <w:rPr>
          <w:rFonts w:asciiTheme="minorHAnsi" w:hAnsiTheme="minorHAnsi" w:cstheme="minorHAnsi"/>
          <w:lang w:val="da-DK"/>
        </w:rPr>
        <w:tab/>
        <w:t xml:space="preserve">Kjaer SK, Tran TN, Sparen P, Tryggvadottir L, Munk C, Dasbach E, et al. </w:t>
      </w:r>
      <w:r w:rsidRPr="002D3B99">
        <w:rPr>
          <w:rFonts w:asciiTheme="minorHAnsi" w:hAnsiTheme="minorHAnsi" w:cstheme="minorHAnsi"/>
        </w:rPr>
        <w:t>The burden of genital warts: a study of nearly 70,000 women from the general female population in the 4 Nordic countries. J Infect Dis. 2007;196(10):1447-54.</w:t>
      </w:r>
    </w:p>
    <w:p w:rsidR="008D5AF9" w:rsidRPr="002D3B99" w:rsidRDefault="008D5AF9" w:rsidP="002D3B99">
      <w:pPr>
        <w:pStyle w:val="EndNoteBibliography"/>
        <w:spacing w:after="0"/>
        <w:rPr>
          <w:rFonts w:asciiTheme="minorHAnsi" w:hAnsiTheme="minorHAnsi" w:cstheme="minorHAnsi"/>
          <w:lang w:val="da-DK"/>
        </w:rPr>
      </w:pPr>
      <w:r w:rsidRPr="002D3B99">
        <w:rPr>
          <w:rFonts w:asciiTheme="minorHAnsi" w:hAnsiTheme="minorHAnsi" w:cstheme="minorHAnsi"/>
        </w:rPr>
        <w:t>46.</w:t>
      </w:r>
      <w:r w:rsidRPr="002D3B99">
        <w:rPr>
          <w:rFonts w:asciiTheme="minorHAnsi" w:hAnsiTheme="minorHAnsi" w:cstheme="minorHAnsi"/>
        </w:rPr>
        <w:tab/>
        <w:t xml:space="preserve">Munk C, Nielsen A, Liaw KL, Kjaer SK. Genital warts in men: a large population-based cross-sectional survey of Danish men. </w:t>
      </w:r>
      <w:r w:rsidRPr="002D3B99">
        <w:rPr>
          <w:rFonts w:asciiTheme="minorHAnsi" w:hAnsiTheme="minorHAnsi" w:cstheme="minorHAnsi"/>
          <w:lang w:val="da-DK"/>
        </w:rPr>
        <w:t>Sex Transm Infect. 2012;88(8):640-</w:t>
      </w:r>
      <w:r w:rsidR="00F84633">
        <w:rPr>
          <w:rFonts w:asciiTheme="minorHAnsi" w:hAnsiTheme="minorHAnsi" w:cstheme="minorHAnsi"/>
          <w:lang w:val="da-DK"/>
        </w:rPr>
        <w:t>4</w:t>
      </w:r>
      <w:r w:rsidRPr="002D3B99">
        <w:rPr>
          <w:rFonts w:asciiTheme="minorHAnsi" w:hAnsiTheme="minorHAnsi" w:cstheme="minorHAnsi"/>
          <w:lang w:val="da-DK"/>
        </w:rPr>
        <w:t>4.</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lang w:val="da-DK"/>
        </w:rPr>
        <w:t>47.</w:t>
      </w:r>
      <w:r w:rsidRPr="002D3B99">
        <w:rPr>
          <w:rFonts w:asciiTheme="minorHAnsi" w:hAnsiTheme="minorHAnsi" w:cstheme="minorHAnsi"/>
          <w:lang w:val="da-DK"/>
        </w:rPr>
        <w:tab/>
        <w:t xml:space="preserve">Lynge E, Thamsborg L, Larsen LG, Christensen J, Johansen T, Hariri J, et al. </w:t>
      </w:r>
      <w:r w:rsidRPr="002D3B99">
        <w:rPr>
          <w:rFonts w:asciiTheme="minorHAnsi" w:hAnsiTheme="minorHAnsi" w:cstheme="minorHAnsi"/>
        </w:rPr>
        <w:t>Prevalence of high-risk human papillomavirus after HPV-vaccination in Denmark. Int J Cancer. 2020;147(12):3446-52.</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48.</w:t>
      </w:r>
      <w:r w:rsidRPr="002D3B99">
        <w:rPr>
          <w:rFonts w:asciiTheme="minorHAnsi" w:hAnsiTheme="minorHAnsi" w:cstheme="minorHAnsi"/>
        </w:rPr>
        <w:tab/>
        <w:t>Bollerup S, Baldur-Felskov B, Blomberg M, Baandrup L, Dehlendorff C, Kjaer SK. Significant Reduction in the Incidence of Genital Warts in Young Men 5 Years into the Danish Human Papillomavirus Vaccination Program for Girls and Women. Sex Transm Dis. 2016;43(4):238-42.</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49.</w:t>
      </w:r>
      <w:r w:rsidRPr="002D3B99">
        <w:rPr>
          <w:rFonts w:asciiTheme="minorHAnsi" w:hAnsiTheme="minorHAnsi" w:cstheme="minorHAnsi"/>
        </w:rPr>
        <w:tab/>
        <w:t>Winer RL, Kiviat NB, Hughes JP, Adam DE, Lee SK, Kuypers JM, et al. Development and duration of human papillomavirus lesions, after initial infection. J Infect Dis. 2005;191(5):731-</w:t>
      </w:r>
      <w:r w:rsidR="00F84633">
        <w:rPr>
          <w:rFonts w:asciiTheme="minorHAnsi" w:hAnsiTheme="minorHAnsi" w:cstheme="minorHAnsi"/>
        </w:rPr>
        <w:t>3</w:t>
      </w:r>
      <w:r w:rsidRPr="002D3B99">
        <w:rPr>
          <w:rFonts w:asciiTheme="minorHAnsi" w:hAnsiTheme="minorHAnsi" w:cstheme="minorHAnsi"/>
        </w:rPr>
        <w:t>8.</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50.</w:t>
      </w:r>
      <w:r w:rsidRPr="002D3B99">
        <w:rPr>
          <w:rFonts w:asciiTheme="minorHAnsi" w:hAnsiTheme="minorHAnsi" w:cstheme="minorHAnsi"/>
        </w:rPr>
        <w:tab/>
        <w:t>Arima Y, Winer RL, Feng Q, Hughes JP, Lee SK, Stern ME, et al. Development of genital warts after incident detection of human papillomavirus infection in young men. J Infect Dis. 2010;202(8):1181-</w:t>
      </w:r>
      <w:r w:rsidR="00F84633">
        <w:rPr>
          <w:rFonts w:asciiTheme="minorHAnsi" w:hAnsiTheme="minorHAnsi" w:cstheme="minorHAnsi"/>
        </w:rPr>
        <w:t>8</w:t>
      </w:r>
      <w:r w:rsidRPr="002D3B99">
        <w:rPr>
          <w:rFonts w:asciiTheme="minorHAnsi" w:hAnsiTheme="minorHAnsi" w:cstheme="minorHAnsi"/>
        </w:rPr>
        <w:t>4.</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51.</w:t>
      </w:r>
      <w:r w:rsidRPr="002D3B99">
        <w:rPr>
          <w:rFonts w:asciiTheme="minorHAnsi" w:hAnsiTheme="minorHAnsi" w:cstheme="minorHAnsi"/>
        </w:rPr>
        <w:tab/>
        <w:t>Anic GM, Lee JH, Stockwell H, Rollison DE, Wu Y, Papenfuss MR, et al. Incidence and human papillomavirus (HPV) type distribution of genital warts in a multinational cohort of men: the HPV in men study. J Infect Dis. 2011;204(12):1886-92.</w:t>
      </w:r>
    </w:p>
    <w:p w:rsidR="008D5AF9" w:rsidRPr="002D3B99" w:rsidRDefault="008D5AF9" w:rsidP="002D3B99">
      <w:pPr>
        <w:pStyle w:val="EndNoteBibliography"/>
        <w:spacing w:after="0"/>
        <w:rPr>
          <w:rFonts w:asciiTheme="minorHAnsi" w:hAnsiTheme="minorHAnsi" w:cstheme="minorHAnsi"/>
          <w:lang w:val="da-DK"/>
        </w:rPr>
      </w:pPr>
      <w:r w:rsidRPr="002D3B99">
        <w:rPr>
          <w:rFonts w:asciiTheme="minorHAnsi" w:hAnsiTheme="minorHAnsi" w:cstheme="minorHAnsi"/>
        </w:rPr>
        <w:t>52.</w:t>
      </w:r>
      <w:r w:rsidRPr="002D3B99">
        <w:rPr>
          <w:rFonts w:asciiTheme="minorHAnsi" w:hAnsiTheme="minorHAnsi" w:cstheme="minorHAnsi"/>
        </w:rPr>
        <w:tab/>
        <w:t xml:space="preserve">Sudenga SL, Ingles DJ, Pierce Campbell CM, Lin HY, Fulp WJ, Messina JL, et al. Genital Human Papillomavirus Infection Progression to External Genital Lesions: The HIM Study. </w:t>
      </w:r>
      <w:r w:rsidRPr="002D3B99">
        <w:rPr>
          <w:rFonts w:asciiTheme="minorHAnsi" w:hAnsiTheme="minorHAnsi" w:cstheme="minorHAnsi"/>
          <w:lang w:val="da-DK"/>
        </w:rPr>
        <w:t>Eur Urol. 2016;69(1):166-73.</w:t>
      </w:r>
    </w:p>
    <w:p w:rsidR="008D5AF9" w:rsidRPr="002D3B99" w:rsidRDefault="008D5AF9" w:rsidP="002D3B99">
      <w:pPr>
        <w:pStyle w:val="EndNoteBibliography"/>
        <w:spacing w:after="0"/>
        <w:rPr>
          <w:rFonts w:asciiTheme="minorHAnsi" w:hAnsiTheme="minorHAnsi" w:cstheme="minorHAnsi"/>
          <w:lang w:val="da-DK"/>
        </w:rPr>
      </w:pPr>
      <w:r w:rsidRPr="002D3B99">
        <w:rPr>
          <w:rFonts w:asciiTheme="minorHAnsi" w:hAnsiTheme="minorHAnsi" w:cstheme="minorHAnsi"/>
          <w:lang w:val="da-DK"/>
        </w:rPr>
        <w:t>53.</w:t>
      </w:r>
      <w:r w:rsidRPr="002D3B99">
        <w:rPr>
          <w:rFonts w:asciiTheme="minorHAnsi" w:hAnsiTheme="minorHAnsi" w:cstheme="minorHAnsi"/>
          <w:lang w:val="da-DK"/>
        </w:rPr>
        <w:tab/>
        <w:t xml:space="preserve">Larsen HK, Thomsen LT, Haedersdal M, Dehlendorff C, Sørensen SS, Kjaer SK. </w:t>
      </w:r>
      <w:r w:rsidRPr="002D3B99">
        <w:rPr>
          <w:rFonts w:asciiTheme="minorHAnsi" w:hAnsiTheme="minorHAnsi" w:cstheme="minorHAnsi"/>
        </w:rPr>
        <w:t xml:space="preserve">Risk of genital warts in renal transplant recipients-A registry-based, prospective cohort study. </w:t>
      </w:r>
      <w:r w:rsidRPr="002D3B99">
        <w:rPr>
          <w:rFonts w:asciiTheme="minorHAnsi" w:hAnsiTheme="minorHAnsi" w:cstheme="minorHAnsi"/>
          <w:lang w:val="da-DK"/>
        </w:rPr>
        <w:t>Am J Transplant. 2019;19(1):156-65.</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lang w:val="da-DK"/>
        </w:rPr>
        <w:t>54.</w:t>
      </w:r>
      <w:r w:rsidRPr="002D3B99">
        <w:rPr>
          <w:rFonts w:asciiTheme="minorHAnsi" w:hAnsiTheme="minorHAnsi" w:cstheme="minorHAnsi"/>
          <w:lang w:val="da-DK"/>
        </w:rPr>
        <w:tab/>
        <w:t xml:space="preserve">Munk C, Svare EI, Poll P, Bock JE, Kjaer SK. </w:t>
      </w:r>
      <w:r w:rsidRPr="002D3B99">
        <w:rPr>
          <w:rFonts w:asciiTheme="minorHAnsi" w:hAnsiTheme="minorHAnsi" w:cstheme="minorHAnsi"/>
        </w:rPr>
        <w:t>History of genital warts in 10,838 women 20 to 29 years of age from the general population. Risk factors and association with Papanicolaou smear history. Sex Transm Dis. 1997;24(10):567-72.</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55.</w:t>
      </w:r>
      <w:r w:rsidRPr="002D3B99">
        <w:rPr>
          <w:rFonts w:asciiTheme="minorHAnsi" w:hAnsiTheme="minorHAnsi" w:cstheme="minorHAnsi"/>
        </w:rPr>
        <w:tab/>
        <w:t>Skaaby S, Kofoed K. Anogenital warts in Danish men who have sex with men. Int J STD AIDS. 2011;22(4):214-</w:t>
      </w:r>
      <w:r w:rsidR="00F84633">
        <w:rPr>
          <w:rFonts w:asciiTheme="minorHAnsi" w:hAnsiTheme="minorHAnsi" w:cstheme="minorHAnsi"/>
        </w:rPr>
        <w:t>1</w:t>
      </w:r>
      <w:r w:rsidRPr="002D3B99">
        <w:rPr>
          <w:rFonts w:asciiTheme="minorHAnsi" w:hAnsiTheme="minorHAnsi" w:cstheme="minorHAnsi"/>
        </w:rPr>
        <w:t>7.</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56.</w:t>
      </w:r>
      <w:r w:rsidRPr="002D3B99">
        <w:rPr>
          <w:rFonts w:asciiTheme="minorHAnsi" w:hAnsiTheme="minorHAnsi" w:cstheme="minorHAnsi"/>
        </w:rPr>
        <w:tab/>
        <w:t>International Agency for Research on Cancer. Human Papillomaviruses. In: Biological agents. A review of human carcinogens. Volume 100B.(2009) Lyon, France: International Agency for Research on Cancer, 2012. Available from: http://monographs.iarc.fr/ENG/Monographs/vol100B/mono100B-11.</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57.</w:t>
      </w:r>
      <w:r w:rsidRPr="002D3B99">
        <w:rPr>
          <w:rFonts w:asciiTheme="minorHAnsi" w:hAnsiTheme="minorHAnsi" w:cstheme="minorHAnsi"/>
        </w:rPr>
        <w:tab/>
        <w:t>Azevedo J, Pista A, Lisboa C, Santo I, Azevedo L, Cunha MJ. Epidemiology of human papillomavirus on anogenital warts in Portugal – The HERCOLES study. J Eur Acad Dermatol Venereol. 2017;31(8):1342-</w:t>
      </w:r>
      <w:r w:rsidR="00F84633">
        <w:rPr>
          <w:rFonts w:asciiTheme="minorHAnsi" w:hAnsiTheme="minorHAnsi" w:cstheme="minorHAnsi"/>
        </w:rPr>
        <w:t>4</w:t>
      </w:r>
      <w:r w:rsidRPr="002D3B99">
        <w:rPr>
          <w:rFonts w:asciiTheme="minorHAnsi" w:hAnsiTheme="minorHAnsi" w:cstheme="minorHAnsi"/>
        </w:rPr>
        <w:t>8.</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58.</w:t>
      </w:r>
      <w:r w:rsidRPr="002D3B99">
        <w:rPr>
          <w:rFonts w:asciiTheme="minorHAnsi" w:hAnsiTheme="minorHAnsi" w:cstheme="minorHAnsi"/>
        </w:rPr>
        <w:tab/>
        <w:t>Blomberg M, Friis S, Munk C, Bautz A, Kjaer SK. Genital warts and risk of cancer: a Danish study of nearly 50 000 patients with genital warts. J Infect Dis. 2012;205(10):1544-53.</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59.</w:t>
      </w:r>
      <w:r w:rsidRPr="002D3B99">
        <w:rPr>
          <w:rFonts w:asciiTheme="minorHAnsi" w:hAnsiTheme="minorHAnsi" w:cstheme="minorHAnsi"/>
        </w:rPr>
        <w:tab/>
        <w:t>Gilson R, Nugent D, Werner RN, Ballesteros J, Ross J. 2019 IUSTI-Europe guideline for the management of anogenital warts. J Eur Acad Dermatol Venereol. 2020;34(38):1644-53.</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60.</w:t>
      </w:r>
      <w:r w:rsidRPr="002D3B99">
        <w:rPr>
          <w:rFonts w:asciiTheme="minorHAnsi" w:hAnsiTheme="minorHAnsi" w:cstheme="minorHAnsi"/>
        </w:rPr>
        <w:tab/>
        <w:t>Schofer H, Van Ophoven A, Henke U, Lenz T, Eul A. Randomized, comparative trial on the sustained efficacy of topical imiquimod 5% cream versus conventional ablative methods in external anogenital warts. Eur J Dermatol 2006;16(6):642–</w:t>
      </w:r>
      <w:r w:rsidR="00F84633">
        <w:rPr>
          <w:rFonts w:asciiTheme="minorHAnsi" w:hAnsiTheme="minorHAnsi" w:cstheme="minorHAnsi"/>
        </w:rPr>
        <w:t>4</w:t>
      </w:r>
      <w:r w:rsidRPr="002D3B99">
        <w:rPr>
          <w:rFonts w:asciiTheme="minorHAnsi" w:hAnsiTheme="minorHAnsi" w:cstheme="minorHAnsi"/>
        </w:rPr>
        <w:t>8.</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61.</w:t>
      </w:r>
      <w:r w:rsidRPr="002D3B99">
        <w:rPr>
          <w:rFonts w:asciiTheme="minorHAnsi" w:hAnsiTheme="minorHAnsi" w:cstheme="minorHAnsi"/>
        </w:rPr>
        <w:tab/>
        <w:t>Thurgar E, Barton S, Karner C, Edwards SJ. Clinical effectiveness and cost-effectiveness of interventions for the treatment of anogenital warts: systematic review and economic evaluation. . Health Technol Assess. 2016;20(24):v-vi, 1-486.</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62.</w:t>
      </w:r>
      <w:r w:rsidRPr="002D3B99">
        <w:rPr>
          <w:rFonts w:asciiTheme="minorHAnsi" w:hAnsiTheme="minorHAnsi" w:cstheme="minorHAnsi"/>
        </w:rPr>
        <w:tab/>
        <w:t>Lacey CJ, Goodall RL, Tennvall GR, Maw R, Kinghorn GR, Fisk PG, et al. Randomised controlled trial and economic evaluation of podophyllotoxin solution, podophyllotoxin cream, and podophyllin in the treatment of genital warts. Sex Transm Infect. 2003;79(4):270–</w:t>
      </w:r>
      <w:r w:rsidR="00F84633">
        <w:rPr>
          <w:rFonts w:asciiTheme="minorHAnsi" w:hAnsiTheme="minorHAnsi" w:cstheme="minorHAnsi"/>
        </w:rPr>
        <w:t>7</w:t>
      </w:r>
      <w:r w:rsidRPr="002D3B99">
        <w:rPr>
          <w:rFonts w:asciiTheme="minorHAnsi" w:hAnsiTheme="minorHAnsi" w:cstheme="minorHAnsi"/>
        </w:rPr>
        <w:t>5.</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63.</w:t>
      </w:r>
      <w:r w:rsidRPr="002D3B99">
        <w:rPr>
          <w:rFonts w:asciiTheme="minorHAnsi" w:hAnsiTheme="minorHAnsi" w:cstheme="minorHAnsi"/>
        </w:rPr>
        <w:tab/>
        <w:t>Jung JM, Jung CJ, Lee WJ, H. WC, W. LM, Choi JH, et al. Topically applied treatments for external genital warts in nonimmunocompromised patients: a systematic review and network meta-analysis. Br J Dermatol. 2020 183(1):24-36.</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64.</w:t>
      </w:r>
      <w:r w:rsidRPr="002D3B99">
        <w:rPr>
          <w:rFonts w:asciiTheme="minorHAnsi" w:hAnsiTheme="minorHAnsi" w:cstheme="minorHAnsi"/>
        </w:rPr>
        <w:tab/>
        <w:t>Komericki P, Akkilic-Materna M, Strimitzer T, Aberer W. Efficacy and safety of imiquimod versus podophyllotoxin in the treatment of anogenital warts. Sex Transm Dis 2011;;38(3):216–</w:t>
      </w:r>
      <w:r w:rsidR="00F84633">
        <w:rPr>
          <w:rFonts w:asciiTheme="minorHAnsi" w:hAnsiTheme="minorHAnsi" w:cstheme="minorHAnsi"/>
        </w:rPr>
        <w:t>1</w:t>
      </w:r>
      <w:r w:rsidRPr="002D3B99">
        <w:rPr>
          <w:rFonts w:asciiTheme="minorHAnsi" w:hAnsiTheme="minorHAnsi" w:cstheme="minorHAnsi"/>
        </w:rPr>
        <w:t>8.</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65.</w:t>
      </w:r>
      <w:r w:rsidRPr="002D3B99">
        <w:rPr>
          <w:rFonts w:asciiTheme="minorHAnsi" w:hAnsiTheme="minorHAnsi" w:cstheme="minorHAnsi"/>
        </w:rPr>
        <w:tab/>
        <w:t>Fife KH, Ferenczy A, Douglas JMJ, Brown DR, Smith M, Owens ML, et al. Treatment of external genital warts in men using 5% imiquimod cream applied three times a week, once daily, twice daily, or three times a day. Sex Transm Dis 2001;28(4):226–31.</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66.</w:t>
      </w:r>
      <w:r w:rsidRPr="002D3B99">
        <w:rPr>
          <w:rFonts w:asciiTheme="minorHAnsi" w:hAnsiTheme="minorHAnsi" w:cstheme="minorHAnsi"/>
        </w:rPr>
        <w:tab/>
        <w:t>Snoeck R, Bossens M, Parent D, Delaere B, Degreef H, Van Ranst M, et al. Phase II double-blind, placebo-controlled study of the safety and efficacy of cidofovir topical gel for the treatment of patients with human papillomavirus infection. Clin Infect Dis. 2001;33(5):597–602.</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67.</w:t>
      </w:r>
      <w:r w:rsidRPr="002D3B99">
        <w:rPr>
          <w:rFonts w:asciiTheme="minorHAnsi" w:hAnsiTheme="minorHAnsi" w:cstheme="minorHAnsi"/>
        </w:rPr>
        <w:tab/>
        <w:t>Batista CS, Atallah AN, Saconato H, da Silva EM. 5-FU for genital warts in non-immunocompromised individuals. Cochrane Database Syst Rev. 2010;2010(4): CD006562.</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68.</w:t>
      </w:r>
      <w:r w:rsidRPr="002D3B99">
        <w:rPr>
          <w:rFonts w:asciiTheme="minorHAnsi" w:hAnsiTheme="minorHAnsi" w:cstheme="minorHAnsi"/>
        </w:rPr>
        <w:tab/>
        <w:t>Sherrard J, Riddell L. Comparison of the effectiveness of commonly used clinic-based treatments for external genital warts. Int J STD AID. 2007;18(6):365–</w:t>
      </w:r>
      <w:r w:rsidR="00F84633">
        <w:rPr>
          <w:rFonts w:asciiTheme="minorHAnsi" w:hAnsiTheme="minorHAnsi" w:cstheme="minorHAnsi"/>
        </w:rPr>
        <w:t>6</w:t>
      </w:r>
      <w:r w:rsidRPr="002D3B99">
        <w:rPr>
          <w:rFonts w:asciiTheme="minorHAnsi" w:hAnsiTheme="minorHAnsi" w:cstheme="minorHAnsi"/>
        </w:rPr>
        <w:t>8.</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69.</w:t>
      </w:r>
      <w:r w:rsidRPr="002D3B99">
        <w:rPr>
          <w:rFonts w:asciiTheme="minorHAnsi" w:hAnsiTheme="minorHAnsi" w:cstheme="minorHAnsi"/>
        </w:rPr>
        <w:tab/>
        <w:t>Stefanaki C, Katzouranis I, Lagogianni E, Hadjivassiliou M, Nicolaidou E, Panagiotopoulos A, et al. Comparison of cryotherapy to imiquimod 5% in the treatment of anogenital warts. Int J STD AIDS 2008;19(7):441–</w:t>
      </w:r>
      <w:r w:rsidR="00F84633">
        <w:rPr>
          <w:rFonts w:asciiTheme="minorHAnsi" w:hAnsiTheme="minorHAnsi" w:cstheme="minorHAnsi"/>
        </w:rPr>
        <w:t>4</w:t>
      </w:r>
      <w:r w:rsidRPr="002D3B99">
        <w:rPr>
          <w:rFonts w:asciiTheme="minorHAnsi" w:hAnsiTheme="minorHAnsi" w:cstheme="minorHAnsi"/>
        </w:rPr>
        <w:t>4.</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70.</w:t>
      </w:r>
      <w:r w:rsidRPr="002D3B99">
        <w:rPr>
          <w:rFonts w:asciiTheme="minorHAnsi" w:hAnsiTheme="minorHAnsi" w:cstheme="minorHAnsi"/>
        </w:rPr>
        <w:tab/>
        <w:t>Lotfabadi P, Maleki F, Gholami A, Yazdanpanah MJ. Liquid nitrogen cryotherapy versus 70% trichloroacetic acid in the treatment of anogenital warts: A randomized controlled trial. Iran J Dermatol J 2016;18::151–</w:t>
      </w:r>
      <w:r w:rsidR="00F84633">
        <w:rPr>
          <w:rFonts w:asciiTheme="minorHAnsi" w:hAnsiTheme="minorHAnsi" w:cstheme="minorHAnsi"/>
        </w:rPr>
        <w:t>5</w:t>
      </w:r>
      <w:r w:rsidRPr="002D3B99">
        <w:rPr>
          <w:rFonts w:asciiTheme="minorHAnsi" w:hAnsiTheme="minorHAnsi" w:cstheme="minorHAnsi"/>
        </w:rPr>
        <w:t>5.</w:t>
      </w:r>
    </w:p>
    <w:p w:rsidR="008D5AF9" w:rsidRPr="002D3B99" w:rsidRDefault="008D5AF9" w:rsidP="002D3B99">
      <w:pPr>
        <w:pStyle w:val="EndNoteBibliography"/>
        <w:spacing w:after="0"/>
        <w:rPr>
          <w:rFonts w:asciiTheme="minorHAnsi" w:hAnsiTheme="minorHAnsi" w:cstheme="minorHAnsi"/>
          <w:lang w:val="da-DK"/>
        </w:rPr>
      </w:pPr>
      <w:r w:rsidRPr="002D3B99">
        <w:rPr>
          <w:rFonts w:asciiTheme="minorHAnsi" w:hAnsiTheme="minorHAnsi" w:cstheme="minorHAnsi"/>
        </w:rPr>
        <w:t>71.</w:t>
      </w:r>
      <w:r w:rsidRPr="002D3B99">
        <w:rPr>
          <w:rFonts w:asciiTheme="minorHAnsi" w:hAnsiTheme="minorHAnsi" w:cstheme="minorHAnsi"/>
        </w:rPr>
        <w:tab/>
        <w:t xml:space="preserve">Chen K, Chang BZ, Ju M, Zhang XH, Gu H. Comparative study of photodynamic therapy vs CO2 laser vaporization in treatment of condylomata acuminata: a randomized clinical trial. </w:t>
      </w:r>
      <w:r w:rsidRPr="002D3B99">
        <w:rPr>
          <w:rFonts w:asciiTheme="minorHAnsi" w:hAnsiTheme="minorHAnsi" w:cstheme="minorHAnsi"/>
          <w:lang w:val="da-DK"/>
        </w:rPr>
        <w:t>Br J Dermatol 2007;156(3):516–20.</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lang w:val="da-DK"/>
        </w:rPr>
        <w:t>72.</w:t>
      </w:r>
      <w:r w:rsidRPr="002D3B99">
        <w:rPr>
          <w:rFonts w:asciiTheme="minorHAnsi" w:hAnsiTheme="minorHAnsi" w:cstheme="minorHAnsi"/>
          <w:lang w:val="da-DK"/>
        </w:rPr>
        <w:tab/>
        <w:t xml:space="preserve">Larsen HK, Kofoed K. Kondylomer er mere end en benign tilstand. </w:t>
      </w:r>
      <w:r w:rsidRPr="002D3B99">
        <w:rPr>
          <w:rFonts w:asciiTheme="minorHAnsi" w:hAnsiTheme="minorHAnsi" w:cstheme="minorHAnsi"/>
        </w:rPr>
        <w:t>Ugeskr Læger. 2018;180:V01180031.</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73.</w:t>
      </w:r>
      <w:r w:rsidRPr="002D3B99">
        <w:rPr>
          <w:rFonts w:asciiTheme="minorHAnsi" w:hAnsiTheme="minorHAnsi" w:cstheme="minorHAnsi"/>
        </w:rPr>
        <w:tab/>
        <w:t>Werner RN, Westfechtel L, Dressler C, Nast A. Anogenital warts and other HPV-associated anogenital lesions in the HIV-positive patient: a systematic review and meta-analysis of the efficacy and safety of interventions assessed in controlled clinical trials. Sex Transm Infect  2017;93(8):543–50.</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74.</w:t>
      </w:r>
      <w:r w:rsidRPr="002D3B99">
        <w:rPr>
          <w:rFonts w:asciiTheme="minorHAnsi" w:hAnsiTheme="minorHAnsi" w:cstheme="minorHAnsi"/>
        </w:rPr>
        <w:tab/>
        <w:t>Manhart LE, Koutsky LA. Do condoms prevent genital HPV infection, external genital warts, or cervical neoplasia? A meta-analysis. Sex Transm Dis. 2002;29(11):725-35.</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75.</w:t>
      </w:r>
      <w:r w:rsidRPr="002D3B99">
        <w:rPr>
          <w:rFonts w:asciiTheme="minorHAnsi" w:hAnsiTheme="minorHAnsi" w:cstheme="minorHAnsi"/>
        </w:rPr>
        <w:tab/>
        <w:t>Wen LM, Estcourt CS, Simpson JM, Mindel A. Risk factors for the acquisition of genital warts: are condoms protective? Sex Transm Infect. 1999 75(5):312-16.</w:t>
      </w:r>
    </w:p>
    <w:p w:rsidR="008D5AF9" w:rsidRPr="002D3B99" w:rsidRDefault="008D5AF9" w:rsidP="002D3B99">
      <w:pPr>
        <w:pStyle w:val="EndNoteBibliography"/>
        <w:spacing w:after="0"/>
        <w:rPr>
          <w:rFonts w:asciiTheme="minorHAnsi" w:hAnsiTheme="minorHAnsi" w:cstheme="minorHAnsi"/>
          <w:lang w:val="da-DK"/>
        </w:rPr>
      </w:pPr>
      <w:r w:rsidRPr="002D3B99">
        <w:rPr>
          <w:rFonts w:asciiTheme="minorHAnsi" w:hAnsiTheme="minorHAnsi" w:cstheme="minorHAnsi"/>
        </w:rPr>
        <w:t>76.</w:t>
      </w:r>
      <w:r w:rsidRPr="002D3B99">
        <w:rPr>
          <w:rFonts w:asciiTheme="minorHAnsi" w:hAnsiTheme="minorHAnsi" w:cstheme="minorHAnsi"/>
        </w:rPr>
        <w:tab/>
        <w:t xml:space="preserve">Pierce Campbell CM, Lin HY, Fulp W, Papenfuss MR, Salmerón JJ, Quiterio MM, et al. Consistent condom use reduces the genital human papillomavirus burden among high-risk men: the HPV infection in men study. </w:t>
      </w:r>
      <w:r w:rsidRPr="002D3B99">
        <w:rPr>
          <w:rFonts w:asciiTheme="minorHAnsi" w:hAnsiTheme="minorHAnsi" w:cstheme="minorHAnsi"/>
          <w:lang w:val="da-DK"/>
        </w:rPr>
        <w:t>J Infect Dis. 2013;208(3):373–84.</w:t>
      </w:r>
    </w:p>
    <w:p w:rsidR="008D5AF9" w:rsidRPr="002D3B99" w:rsidRDefault="008D5AF9" w:rsidP="002D3B99">
      <w:pPr>
        <w:pStyle w:val="EndNoteBibliography"/>
        <w:spacing w:after="0"/>
        <w:rPr>
          <w:rFonts w:asciiTheme="minorHAnsi" w:hAnsiTheme="minorHAnsi" w:cstheme="minorHAnsi"/>
          <w:lang w:val="da-DK"/>
        </w:rPr>
      </w:pPr>
      <w:r w:rsidRPr="002D3B99">
        <w:rPr>
          <w:rFonts w:asciiTheme="minorHAnsi" w:hAnsiTheme="minorHAnsi" w:cstheme="minorHAnsi"/>
          <w:lang w:val="da-DK"/>
        </w:rPr>
        <w:t>77.</w:t>
      </w:r>
      <w:r w:rsidRPr="002D3B99">
        <w:rPr>
          <w:rFonts w:asciiTheme="minorHAnsi" w:hAnsiTheme="minorHAnsi" w:cstheme="minorHAnsi"/>
          <w:lang w:val="da-DK"/>
        </w:rPr>
        <w:tab/>
        <w:t xml:space="preserve">Hogewoning CJ, Bleeker MC, van den Brule AJ, Voorhorst FJ, Snijders PJ, Berkhof J, et al. </w:t>
      </w:r>
      <w:r w:rsidRPr="002D3B99">
        <w:rPr>
          <w:rFonts w:asciiTheme="minorHAnsi" w:hAnsiTheme="minorHAnsi" w:cstheme="minorHAnsi"/>
        </w:rPr>
        <w:t xml:space="preserve">Condom use promotes regression of cervical intraepithelial neoplasia and clearance of human papillomavirus: a randomized clinical trial. </w:t>
      </w:r>
      <w:r w:rsidRPr="002D3B99">
        <w:rPr>
          <w:rFonts w:asciiTheme="minorHAnsi" w:hAnsiTheme="minorHAnsi" w:cstheme="minorHAnsi"/>
          <w:lang w:val="da-DK"/>
        </w:rPr>
        <w:t>Int J Cancer. 2003;107(5):811-16.</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lang w:val="da-DK"/>
        </w:rPr>
        <w:t>78.</w:t>
      </w:r>
      <w:r w:rsidRPr="002D3B99">
        <w:rPr>
          <w:rFonts w:asciiTheme="minorHAnsi" w:hAnsiTheme="minorHAnsi" w:cstheme="minorHAnsi"/>
          <w:lang w:val="da-DK"/>
        </w:rPr>
        <w:tab/>
        <w:t xml:space="preserve">Hansen BT, Hagerup-Jenssen M, Kjaer SK, Munk C, Tryggvadottir L, Sparén P, et al. </w:t>
      </w:r>
      <w:r w:rsidRPr="002D3B99">
        <w:rPr>
          <w:rFonts w:asciiTheme="minorHAnsi" w:hAnsiTheme="minorHAnsi" w:cstheme="minorHAnsi"/>
        </w:rPr>
        <w:t>Association between smoking and genital warts: longitudinal analysis. Sex Transm Infect. 2010;86(4): 258–62.</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79.</w:t>
      </w:r>
      <w:r w:rsidRPr="002D3B99">
        <w:rPr>
          <w:rFonts w:asciiTheme="minorHAnsi" w:hAnsiTheme="minorHAnsi" w:cstheme="minorHAnsi"/>
        </w:rPr>
        <w:tab/>
        <w:t>Nyitray AG, Carvalho da Silva RJ, Baggio ML, Smith D, Abrahamsen M, Papenfuss M, et al. Six-month incidence, persistence, and factors associated with persistence of anal human papillomavirus in men: the HPV in men study. J Infect Dis 2011;204(11):1711–22.</w:t>
      </w:r>
    </w:p>
    <w:p w:rsidR="008D5AF9" w:rsidRPr="002D3B99" w:rsidRDefault="008D5AF9" w:rsidP="002D3B99">
      <w:pPr>
        <w:pStyle w:val="EndNoteBibliography"/>
        <w:spacing w:after="0"/>
        <w:rPr>
          <w:rFonts w:asciiTheme="minorHAnsi" w:hAnsiTheme="minorHAnsi" w:cstheme="minorHAnsi"/>
          <w:lang w:val="da-DK"/>
        </w:rPr>
      </w:pPr>
      <w:r w:rsidRPr="002D3B99">
        <w:rPr>
          <w:rFonts w:asciiTheme="minorHAnsi" w:hAnsiTheme="minorHAnsi" w:cstheme="minorHAnsi"/>
        </w:rPr>
        <w:t>80.</w:t>
      </w:r>
      <w:r w:rsidRPr="002D3B99">
        <w:rPr>
          <w:rFonts w:asciiTheme="minorHAnsi" w:hAnsiTheme="minorHAnsi" w:cstheme="minorHAnsi"/>
        </w:rPr>
        <w:tab/>
        <w:t xml:space="preserve">Coskuner ER, Ozkan TA, Karakose A, Dillioglugil O, Cevik I. Impact of the quadrivalent HPV vaccine on disease recurrence in men exposed to HPV infection: a randomized study. </w:t>
      </w:r>
      <w:r w:rsidRPr="002D3B99">
        <w:rPr>
          <w:rFonts w:asciiTheme="minorHAnsi" w:hAnsiTheme="minorHAnsi" w:cstheme="minorHAnsi"/>
          <w:lang w:val="da-DK"/>
        </w:rPr>
        <w:t>J Sex Med. 2014;11(11):2785–91.</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lang w:val="da-DK"/>
        </w:rPr>
        <w:t>81.</w:t>
      </w:r>
      <w:r w:rsidRPr="002D3B99">
        <w:rPr>
          <w:rFonts w:asciiTheme="minorHAnsi" w:hAnsiTheme="minorHAnsi" w:cstheme="minorHAnsi"/>
          <w:lang w:val="da-DK"/>
        </w:rPr>
        <w:tab/>
        <w:t xml:space="preserve">Joura EA, Garland SM, Paavonen J, Ferris DG, Perez G, Ault KA, et al. </w:t>
      </w:r>
      <w:r w:rsidRPr="002D3B99">
        <w:rPr>
          <w:rFonts w:asciiTheme="minorHAnsi" w:hAnsiTheme="minorHAnsi" w:cstheme="minorHAnsi"/>
        </w:rPr>
        <w:t>Effect of the human papillomavirus (HPV) quadrivalent vaccine in a subgroup of women with cervical and vulvar disease: retrospective pooled analysis of trial data. BMJ 2012;344:e1401.</w:t>
      </w:r>
    </w:p>
    <w:p w:rsidR="008D5AF9" w:rsidRPr="002D3B99" w:rsidRDefault="008D5AF9" w:rsidP="002D3B99">
      <w:pPr>
        <w:pStyle w:val="EndNoteBibliography"/>
        <w:spacing w:after="0"/>
        <w:rPr>
          <w:rFonts w:asciiTheme="minorHAnsi" w:hAnsiTheme="minorHAnsi" w:cstheme="minorHAnsi"/>
        </w:rPr>
      </w:pPr>
      <w:r w:rsidRPr="002D3B99">
        <w:rPr>
          <w:rFonts w:asciiTheme="minorHAnsi" w:hAnsiTheme="minorHAnsi" w:cstheme="minorHAnsi"/>
        </w:rPr>
        <w:t>82.</w:t>
      </w:r>
      <w:r w:rsidRPr="002D3B99">
        <w:rPr>
          <w:rFonts w:asciiTheme="minorHAnsi" w:hAnsiTheme="minorHAnsi" w:cstheme="minorHAnsi"/>
        </w:rPr>
        <w:tab/>
        <w:t>Ferreira A, Young T, Matthews C, Zunza M, Low N. Strategies for partner notification for sexually transmitted infections, including HIV. Cochrane Database Syst Rev 2013;10:CD002843.</w:t>
      </w:r>
    </w:p>
    <w:p w:rsidR="008D5AF9" w:rsidRPr="002D3B99" w:rsidRDefault="008D5AF9" w:rsidP="002D3B99">
      <w:pPr>
        <w:pStyle w:val="EndNoteBibliography"/>
        <w:rPr>
          <w:rFonts w:asciiTheme="minorHAnsi" w:hAnsiTheme="minorHAnsi" w:cstheme="minorHAnsi"/>
        </w:rPr>
      </w:pPr>
      <w:r w:rsidRPr="002D3B99">
        <w:rPr>
          <w:rFonts w:asciiTheme="minorHAnsi" w:hAnsiTheme="minorHAnsi" w:cstheme="minorHAnsi"/>
        </w:rPr>
        <w:t>83.</w:t>
      </w:r>
      <w:r w:rsidRPr="002D3B99">
        <w:rPr>
          <w:rFonts w:asciiTheme="minorHAnsi" w:hAnsiTheme="minorHAnsi" w:cstheme="minorHAnsi"/>
        </w:rPr>
        <w:tab/>
        <w:t xml:space="preserve">Tiplica GS, Radcliffe K, Evans C, Gomberg M, Nandwani R, Rafila A, et al. 2015 European guidelines for the management of partners of persons with sexually transmitted infections. J Eur Acad Dermatol Venereol. 2015;29(7):1251-57 </w:t>
      </w:r>
    </w:p>
    <w:p w:rsidR="008D5AF9" w:rsidRPr="002D3B99" w:rsidRDefault="008D5AF9" w:rsidP="002D3B99">
      <w:pPr>
        <w:pStyle w:val="Overskrift2"/>
        <w:rPr>
          <w:rFonts w:asciiTheme="minorHAnsi" w:hAnsiTheme="minorHAnsi" w:cstheme="minorHAnsi"/>
          <w:sz w:val="24"/>
          <w:szCs w:val="24"/>
        </w:rPr>
      </w:pPr>
    </w:p>
    <w:p w:rsidR="006D15F2" w:rsidRPr="002D3B99" w:rsidRDefault="006D15F2" w:rsidP="002D3B99">
      <w:pPr>
        <w:rPr>
          <w:rFonts w:cstheme="minorHAnsi"/>
        </w:rPr>
      </w:pPr>
    </w:p>
    <w:sectPr w:rsidR="006D15F2" w:rsidRPr="002D3B99" w:rsidSect="008D5AF9">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7AE" w:rsidRDefault="008607AE">
      <w:pPr>
        <w:spacing w:after="0" w:line="240" w:lineRule="auto"/>
      </w:pPr>
      <w:r>
        <w:separator/>
      </w:r>
    </w:p>
  </w:endnote>
  <w:endnote w:type="continuationSeparator" w:id="0">
    <w:p w:rsidR="008607AE" w:rsidRDefault="0086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vTime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544832"/>
      <w:docPartObj>
        <w:docPartGallery w:val="Page Numbers (Bottom of Page)"/>
        <w:docPartUnique/>
      </w:docPartObj>
    </w:sdtPr>
    <w:sdtEndPr/>
    <w:sdtContent>
      <w:p w:rsidR="00682D70" w:rsidRDefault="00682D70">
        <w:pPr>
          <w:pStyle w:val="Sidefod"/>
          <w:jc w:val="right"/>
        </w:pPr>
        <w:r>
          <w:fldChar w:fldCharType="begin"/>
        </w:r>
        <w:r>
          <w:instrText>PAGE   \* MERGEFORMAT</w:instrText>
        </w:r>
        <w:r>
          <w:fldChar w:fldCharType="separate"/>
        </w:r>
        <w:r w:rsidR="00F359F0">
          <w:rPr>
            <w:noProof/>
          </w:rPr>
          <w:t>2</w:t>
        </w:r>
        <w:r>
          <w:fldChar w:fldCharType="end"/>
        </w:r>
      </w:p>
    </w:sdtContent>
  </w:sdt>
  <w:p w:rsidR="00682D70" w:rsidRDefault="00682D7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7AE" w:rsidRDefault="008607AE">
      <w:pPr>
        <w:spacing w:after="0" w:line="240" w:lineRule="auto"/>
      </w:pPr>
      <w:r>
        <w:separator/>
      </w:r>
    </w:p>
  </w:footnote>
  <w:footnote w:type="continuationSeparator" w:id="0">
    <w:p w:rsidR="008607AE" w:rsidRDefault="00860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D70" w:rsidRDefault="00682D70" w:rsidP="008D5AF9">
    <w:pPr>
      <w:pStyle w:val="Sidehoved"/>
      <w:pBdr>
        <w:bottom w:val="single" w:sz="4" w:space="1" w:color="auto"/>
      </w:pBdr>
    </w:pPr>
    <w:r>
      <w:tab/>
    </w:r>
    <w:r>
      <w:tab/>
      <w:t>DDS vejledning SOI</w:t>
    </w:r>
  </w:p>
  <w:p w:rsidR="00682D70" w:rsidRDefault="00682D7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9F266AA"/>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164CBF9C"/>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6010457"/>
    <w:multiLevelType w:val="hybridMultilevel"/>
    <w:tmpl w:val="50A656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8056FD"/>
    <w:multiLevelType w:val="hybridMultilevel"/>
    <w:tmpl w:val="BEDCB1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AD83D11"/>
    <w:multiLevelType w:val="hybridMultilevel"/>
    <w:tmpl w:val="DC228A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D720695"/>
    <w:multiLevelType w:val="hybridMultilevel"/>
    <w:tmpl w:val="3BACC2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D925E44"/>
    <w:multiLevelType w:val="hybridMultilevel"/>
    <w:tmpl w:val="57D631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E254FFB"/>
    <w:multiLevelType w:val="hybridMultilevel"/>
    <w:tmpl w:val="128CF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1440875"/>
    <w:multiLevelType w:val="hybridMultilevel"/>
    <w:tmpl w:val="A07407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57131D3"/>
    <w:multiLevelType w:val="hybridMultilevel"/>
    <w:tmpl w:val="5E5EB3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6643710"/>
    <w:multiLevelType w:val="hybridMultilevel"/>
    <w:tmpl w:val="979489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9D11F27"/>
    <w:multiLevelType w:val="hybridMultilevel"/>
    <w:tmpl w:val="D020F64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CA6426F"/>
    <w:multiLevelType w:val="hybridMultilevel"/>
    <w:tmpl w:val="B066A6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17F32F3"/>
    <w:multiLevelType w:val="hybridMultilevel"/>
    <w:tmpl w:val="6ADE5E3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7786525"/>
    <w:multiLevelType w:val="hybridMultilevel"/>
    <w:tmpl w:val="7A929B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A1820B9"/>
    <w:multiLevelType w:val="hybridMultilevel"/>
    <w:tmpl w:val="09B6D0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A4F4345"/>
    <w:multiLevelType w:val="multilevel"/>
    <w:tmpl w:val="251A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AB2231"/>
    <w:multiLevelType w:val="hybridMultilevel"/>
    <w:tmpl w:val="B956CC6E"/>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8" w15:restartNumberingAfterBreak="0">
    <w:nsid w:val="2D026865"/>
    <w:multiLevelType w:val="hybridMultilevel"/>
    <w:tmpl w:val="6CEAE3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5F36ACD"/>
    <w:multiLevelType w:val="hybridMultilevel"/>
    <w:tmpl w:val="4DC023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3B82F1F"/>
    <w:multiLevelType w:val="hybridMultilevel"/>
    <w:tmpl w:val="0BF878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6597A24"/>
    <w:multiLevelType w:val="hybridMultilevel"/>
    <w:tmpl w:val="F4E0C9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8855E8E"/>
    <w:multiLevelType w:val="hybridMultilevel"/>
    <w:tmpl w:val="58845B6C"/>
    <w:lvl w:ilvl="0" w:tplc="00840D2A">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540488E"/>
    <w:multiLevelType w:val="hybridMultilevel"/>
    <w:tmpl w:val="01D21C8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6BD586C"/>
    <w:multiLevelType w:val="hybridMultilevel"/>
    <w:tmpl w:val="EB3C256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8C66D83"/>
    <w:multiLevelType w:val="hybridMultilevel"/>
    <w:tmpl w:val="13982D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9560D11"/>
    <w:multiLevelType w:val="hybridMultilevel"/>
    <w:tmpl w:val="F9E693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BB27927"/>
    <w:multiLevelType w:val="hybridMultilevel"/>
    <w:tmpl w:val="7C5E95DA"/>
    <w:lvl w:ilvl="0" w:tplc="00840D2A">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E7741EB"/>
    <w:multiLevelType w:val="hybridMultilevel"/>
    <w:tmpl w:val="16AC4C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2D25FE7"/>
    <w:multiLevelType w:val="hybridMultilevel"/>
    <w:tmpl w:val="4606C6BA"/>
    <w:lvl w:ilvl="0" w:tplc="97984D9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B74CCE"/>
    <w:multiLevelType w:val="hybridMultilevel"/>
    <w:tmpl w:val="8F1A71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392621"/>
    <w:multiLevelType w:val="hybridMultilevel"/>
    <w:tmpl w:val="E1A27FE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2F3FA4"/>
    <w:multiLevelType w:val="hybridMultilevel"/>
    <w:tmpl w:val="2E0E53F6"/>
    <w:lvl w:ilvl="0" w:tplc="97984D92">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FD145A"/>
    <w:multiLevelType w:val="hybridMultilevel"/>
    <w:tmpl w:val="F0E296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26267A6"/>
    <w:multiLevelType w:val="multilevel"/>
    <w:tmpl w:val="25464254"/>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Theme="minorHAnsi" w:hAnsi="Calibri" w:cs="Calibri"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5808A7"/>
    <w:multiLevelType w:val="hybridMultilevel"/>
    <w:tmpl w:val="42D08C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8"/>
  </w:num>
  <w:num w:numId="4">
    <w:abstractNumId w:val="10"/>
  </w:num>
  <w:num w:numId="5">
    <w:abstractNumId w:val="21"/>
  </w:num>
  <w:num w:numId="6">
    <w:abstractNumId w:val="6"/>
  </w:num>
  <w:num w:numId="7">
    <w:abstractNumId w:val="15"/>
  </w:num>
  <w:num w:numId="8">
    <w:abstractNumId w:val="17"/>
  </w:num>
  <w:num w:numId="9">
    <w:abstractNumId w:val="3"/>
  </w:num>
  <w:num w:numId="10">
    <w:abstractNumId w:val="7"/>
  </w:num>
  <w:num w:numId="11">
    <w:abstractNumId w:val="14"/>
  </w:num>
  <w:num w:numId="12">
    <w:abstractNumId w:val="19"/>
  </w:num>
  <w:num w:numId="13">
    <w:abstractNumId w:val="8"/>
  </w:num>
  <w:num w:numId="14">
    <w:abstractNumId w:val="5"/>
  </w:num>
  <w:num w:numId="15">
    <w:abstractNumId w:val="34"/>
  </w:num>
  <w:num w:numId="16">
    <w:abstractNumId w:val="16"/>
  </w:num>
  <w:num w:numId="17">
    <w:abstractNumId w:val="30"/>
  </w:num>
  <w:num w:numId="18">
    <w:abstractNumId w:val="33"/>
  </w:num>
  <w:num w:numId="19">
    <w:abstractNumId w:val="24"/>
  </w:num>
  <w:num w:numId="20">
    <w:abstractNumId w:val="35"/>
  </w:num>
  <w:num w:numId="21">
    <w:abstractNumId w:val="26"/>
  </w:num>
  <w:num w:numId="22">
    <w:abstractNumId w:val="4"/>
  </w:num>
  <w:num w:numId="23">
    <w:abstractNumId w:val="23"/>
  </w:num>
  <w:num w:numId="24">
    <w:abstractNumId w:val="20"/>
  </w:num>
  <w:num w:numId="25">
    <w:abstractNumId w:val="29"/>
  </w:num>
  <w:num w:numId="26">
    <w:abstractNumId w:val="32"/>
  </w:num>
  <w:num w:numId="27">
    <w:abstractNumId w:val="13"/>
  </w:num>
  <w:num w:numId="28">
    <w:abstractNumId w:val="25"/>
  </w:num>
  <w:num w:numId="29">
    <w:abstractNumId w:val="9"/>
  </w:num>
  <w:num w:numId="30">
    <w:abstractNumId w:val="31"/>
  </w:num>
  <w:num w:numId="31">
    <w:abstractNumId w:val="18"/>
  </w:num>
  <w:num w:numId="32">
    <w:abstractNumId w:val="12"/>
  </w:num>
  <w:num w:numId="33">
    <w:abstractNumId w:val="2"/>
  </w:num>
  <w:num w:numId="34">
    <w:abstractNumId w:val="27"/>
  </w:num>
  <w:num w:numId="35">
    <w:abstractNumId w:val="2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D5AF9"/>
    <w:rsid w:val="002D3B99"/>
    <w:rsid w:val="00517214"/>
    <w:rsid w:val="00655A3F"/>
    <w:rsid w:val="00682D70"/>
    <w:rsid w:val="006A0B1D"/>
    <w:rsid w:val="006D15F2"/>
    <w:rsid w:val="006E4E05"/>
    <w:rsid w:val="00804FBD"/>
    <w:rsid w:val="0084387F"/>
    <w:rsid w:val="008607AE"/>
    <w:rsid w:val="008D5AF9"/>
    <w:rsid w:val="009029E7"/>
    <w:rsid w:val="00D156A3"/>
    <w:rsid w:val="00D26F02"/>
    <w:rsid w:val="00F359F0"/>
    <w:rsid w:val="00F84633"/>
    <w:rsid w:val="00FB73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F6609-A9D7-4E3C-AAD5-52D22342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AF9"/>
    <w:pPr>
      <w:spacing w:after="200" w:line="276" w:lineRule="auto"/>
    </w:pPr>
  </w:style>
  <w:style w:type="paragraph" w:styleId="Overskrift1">
    <w:name w:val="heading 1"/>
    <w:basedOn w:val="Normal"/>
    <w:next w:val="Normal"/>
    <w:link w:val="Overskrift1Tegn"/>
    <w:uiPriority w:val="9"/>
    <w:qFormat/>
    <w:rsid w:val="008D5A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D5A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8D5A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D5AF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8D5AF9"/>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8D5AF9"/>
    <w:rPr>
      <w:rFonts w:asciiTheme="majorHAnsi" w:eastAsiaTheme="majorEastAsia" w:hAnsiTheme="majorHAnsi" w:cstheme="majorBidi"/>
      <w:color w:val="1F3763" w:themeColor="accent1" w:themeShade="7F"/>
      <w:sz w:val="24"/>
      <w:szCs w:val="24"/>
    </w:rPr>
  </w:style>
  <w:style w:type="paragraph" w:styleId="Ingenafstand">
    <w:name w:val="No Spacing"/>
    <w:uiPriority w:val="1"/>
    <w:qFormat/>
    <w:rsid w:val="008D5AF9"/>
    <w:pPr>
      <w:spacing w:after="0" w:line="240" w:lineRule="auto"/>
    </w:pPr>
  </w:style>
  <w:style w:type="paragraph" w:styleId="Markeringsbobletekst">
    <w:name w:val="Balloon Text"/>
    <w:basedOn w:val="Normal"/>
    <w:link w:val="MarkeringsbobletekstTegn"/>
    <w:uiPriority w:val="99"/>
    <w:semiHidden/>
    <w:unhideWhenUsed/>
    <w:rsid w:val="008D5AF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5AF9"/>
    <w:rPr>
      <w:rFonts w:ascii="Tahoma" w:hAnsi="Tahoma" w:cs="Tahoma"/>
      <w:sz w:val="16"/>
      <w:szCs w:val="16"/>
    </w:rPr>
  </w:style>
  <w:style w:type="table" w:styleId="Tabel-Gitter">
    <w:name w:val="Table Grid"/>
    <w:basedOn w:val="Tabel-Normal"/>
    <w:uiPriority w:val="39"/>
    <w:rsid w:val="008D5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semiHidden/>
    <w:unhideWhenUsed/>
    <w:rsid w:val="008D5AF9"/>
    <w:pPr>
      <w:numPr>
        <w:numId w:val="1"/>
      </w:numPr>
      <w:contextualSpacing/>
    </w:pPr>
  </w:style>
  <w:style w:type="paragraph" w:styleId="Opstilling-talellerbogst">
    <w:name w:val="List Number"/>
    <w:basedOn w:val="Normal"/>
    <w:uiPriority w:val="99"/>
    <w:semiHidden/>
    <w:unhideWhenUsed/>
    <w:rsid w:val="008D5AF9"/>
    <w:pPr>
      <w:numPr>
        <w:numId w:val="2"/>
      </w:numPr>
      <w:contextualSpacing/>
    </w:pPr>
  </w:style>
  <w:style w:type="paragraph" w:styleId="Sidehoved">
    <w:name w:val="header"/>
    <w:basedOn w:val="Normal"/>
    <w:link w:val="SidehovedTegn"/>
    <w:uiPriority w:val="99"/>
    <w:unhideWhenUsed/>
    <w:rsid w:val="008D5AF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D5AF9"/>
  </w:style>
  <w:style w:type="paragraph" w:styleId="Sidefod">
    <w:name w:val="footer"/>
    <w:basedOn w:val="Normal"/>
    <w:link w:val="SidefodTegn"/>
    <w:uiPriority w:val="99"/>
    <w:unhideWhenUsed/>
    <w:rsid w:val="008D5AF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D5AF9"/>
  </w:style>
  <w:style w:type="character" w:styleId="Hyperlink">
    <w:name w:val="Hyperlink"/>
    <w:basedOn w:val="Standardskrifttypeiafsnit"/>
    <w:uiPriority w:val="99"/>
    <w:unhideWhenUsed/>
    <w:rsid w:val="008D5AF9"/>
    <w:rPr>
      <w:color w:val="0563C1" w:themeColor="hyperlink"/>
      <w:u w:val="single"/>
    </w:rPr>
  </w:style>
  <w:style w:type="character" w:styleId="Ulstomtale">
    <w:name w:val="Unresolved Mention"/>
    <w:basedOn w:val="Standardskrifttypeiafsnit"/>
    <w:uiPriority w:val="99"/>
    <w:semiHidden/>
    <w:unhideWhenUsed/>
    <w:rsid w:val="008D5AF9"/>
    <w:rPr>
      <w:color w:val="605E5C"/>
      <w:shd w:val="clear" w:color="auto" w:fill="E1DFDD"/>
    </w:rPr>
  </w:style>
  <w:style w:type="paragraph" w:styleId="Overskrift">
    <w:name w:val="TOC Heading"/>
    <w:basedOn w:val="Overskrift1"/>
    <w:next w:val="Normal"/>
    <w:uiPriority w:val="39"/>
    <w:unhideWhenUsed/>
    <w:qFormat/>
    <w:rsid w:val="008D5AF9"/>
    <w:pPr>
      <w:spacing w:line="259" w:lineRule="auto"/>
      <w:outlineLvl w:val="9"/>
    </w:pPr>
    <w:rPr>
      <w:lang w:eastAsia="da-DK"/>
    </w:rPr>
  </w:style>
  <w:style w:type="paragraph" w:styleId="Indholdsfortegnelse1">
    <w:name w:val="toc 1"/>
    <w:basedOn w:val="Normal"/>
    <w:next w:val="Normal"/>
    <w:autoRedefine/>
    <w:uiPriority w:val="39"/>
    <w:unhideWhenUsed/>
    <w:rsid w:val="008D5AF9"/>
    <w:pPr>
      <w:spacing w:after="100"/>
    </w:pPr>
  </w:style>
  <w:style w:type="paragraph" w:styleId="Indholdsfortegnelse2">
    <w:name w:val="toc 2"/>
    <w:basedOn w:val="Normal"/>
    <w:next w:val="Normal"/>
    <w:autoRedefine/>
    <w:uiPriority w:val="39"/>
    <w:unhideWhenUsed/>
    <w:rsid w:val="008D5AF9"/>
    <w:pPr>
      <w:spacing w:after="100"/>
      <w:ind w:left="220"/>
    </w:pPr>
  </w:style>
  <w:style w:type="paragraph" w:styleId="Indholdsfortegnelse3">
    <w:name w:val="toc 3"/>
    <w:basedOn w:val="Normal"/>
    <w:next w:val="Normal"/>
    <w:autoRedefine/>
    <w:uiPriority w:val="39"/>
    <w:unhideWhenUsed/>
    <w:rsid w:val="008D5AF9"/>
    <w:pPr>
      <w:spacing w:after="100"/>
      <w:ind w:left="440"/>
    </w:pPr>
  </w:style>
  <w:style w:type="character" w:styleId="Kommentarhenvisning">
    <w:name w:val="annotation reference"/>
    <w:basedOn w:val="Standardskrifttypeiafsnit"/>
    <w:uiPriority w:val="99"/>
    <w:semiHidden/>
    <w:unhideWhenUsed/>
    <w:rsid w:val="008D5AF9"/>
    <w:rPr>
      <w:sz w:val="16"/>
      <w:szCs w:val="16"/>
    </w:rPr>
  </w:style>
  <w:style w:type="paragraph" w:styleId="Kommentartekst">
    <w:name w:val="annotation text"/>
    <w:basedOn w:val="Normal"/>
    <w:link w:val="KommentartekstTegn"/>
    <w:uiPriority w:val="99"/>
    <w:unhideWhenUsed/>
    <w:rsid w:val="008D5AF9"/>
    <w:pPr>
      <w:spacing w:line="240" w:lineRule="auto"/>
    </w:pPr>
    <w:rPr>
      <w:sz w:val="20"/>
      <w:szCs w:val="20"/>
    </w:rPr>
  </w:style>
  <w:style w:type="character" w:customStyle="1" w:styleId="KommentartekstTegn">
    <w:name w:val="Kommentartekst Tegn"/>
    <w:basedOn w:val="Standardskrifttypeiafsnit"/>
    <w:link w:val="Kommentartekst"/>
    <w:uiPriority w:val="99"/>
    <w:rsid w:val="008D5AF9"/>
    <w:rPr>
      <w:sz w:val="20"/>
      <w:szCs w:val="20"/>
    </w:rPr>
  </w:style>
  <w:style w:type="paragraph" w:styleId="Kommentaremne">
    <w:name w:val="annotation subject"/>
    <w:basedOn w:val="Kommentartekst"/>
    <w:next w:val="Kommentartekst"/>
    <w:link w:val="KommentaremneTegn"/>
    <w:uiPriority w:val="99"/>
    <w:semiHidden/>
    <w:unhideWhenUsed/>
    <w:rsid w:val="008D5AF9"/>
    <w:rPr>
      <w:b/>
      <w:bCs/>
    </w:rPr>
  </w:style>
  <w:style w:type="character" w:customStyle="1" w:styleId="KommentaremneTegn">
    <w:name w:val="Kommentaremne Tegn"/>
    <w:basedOn w:val="KommentartekstTegn"/>
    <w:link w:val="Kommentaremne"/>
    <w:uiPriority w:val="99"/>
    <w:semiHidden/>
    <w:rsid w:val="008D5AF9"/>
    <w:rPr>
      <w:b/>
      <w:bCs/>
      <w:sz w:val="20"/>
      <w:szCs w:val="20"/>
    </w:rPr>
  </w:style>
  <w:style w:type="paragraph" w:styleId="Listeafsnit">
    <w:name w:val="List Paragraph"/>
    <w:basedOn w:val="Normal"/>
    <w:uiPriority w:val="34"/>
    <w:qFormat/>
    <w:rsid w:val="008D5AF9"/>
    <w:pPr>
      <w:ind w:left="720"/>
      <w:contextualSpacing/>
    </w:pPr>
  </w:style>
  <w:style w:type="character" w:customStyle="1" w:styleId="docsum-authors">
    <w:name w:val="docsum-authors"/>
    <w:basedOn w:val="Standardskrifttypeiafsnit"/>
    <w:rsid w:val="008D5AF9"/>
  </w:style>
  <w:style w:type="character" w:customStyle="1" w:styleId="docsum-journal-citation">
    <w:name w:val="docsum-journal-citation"/>
    <w:basedOn w:val="Standardskrifttypeiafsnit"/>
    <w:rsid w:val="008D5AF9"/>
  </w:style>
  <w:style w:type="character" w:customStyle="1" w:styleId="period">
    <w:name w:val="period"/>
    <w:basedOn w:val="Standardskrifttypeiafsnit"/>
    <w:rsid w:val="008D5AF9"/>
  </w:style>
  <w:style w:type="character" w:customStyle="1" w:styleId="cit">
    <w:name w:val="cit"/>
    <w:basedOn w:val="Standardskrifttypeiafsnit"/>
    <w:rsid w:val="008D5AF9"/>
  </w:style>
  <w:style w:type="character" w:customStyle="1" w:styleId="authors-list-item">
    <w:name w:val="authors-list-item"/>
    <w:basedOn w:val="Standardskrifttypeiafsnit"/>
    <w:rsid w:val="008D5AF9"/>
  </w:style>
  <w:style w:type="character" w:customStyle="1" w:styleId="comma">
    <w:name w:val="comma"/>
    <w:basedOn w:val="Standardskrifttypeiafsnit"/>
    <w:rsid w:val="008D5AF9"/>
  </w:style>
  <w:style w:type="character" w:customStyle="1" w:styleId="author-sup-separator">
    <w:name w:val="author-sup-separator"/>
    <w:basedOn w:val="Standardskrifttypeiafsnit"/>
    <w:rsid w:val="008D5AF9"/>
  </w:style>
  <w:style w:type="paragraph" w:styleId="NormalWeb">
    <w:name w:val="Normal (Web)"/>
    <w:basedOn w:val="Normal"/>
    <w:uiPriority w:val="99"/>
    <w:unhideWhenUsed/>
    <w:rsid w:val="008D5AF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8D5AF9"/>
    <w:rPr>
      <w:b/>
      <w:bCs/>
    </w:rPr>
  </w:style>
  <w:style w:type="paragraph" w:customStyle="1" w:styleId="EndNoteBibliographyTitle">
    <w:name w:val="EndNote Bibliography Title"/>
    <w:basedOn w:val="Normal"/>
    <w:link w:val="EndNoteBibliographyTitleTegn"/>
    <w:rsid w:val="008D5AF9"/>
    <w:pPr>
      <w:spacing w:after="0"/>
      <w:jc w:val="center"/>
    </w:pPr>
    <w:rPr>
      <w:rFonts w:ascii="Cambria" w:hAnsi="Cambria"/>
      <w:noProof/>
      <w:sz w:val="26"/>
      <w:lang w:val="en-US"/>
    </w:rPr>
  </w:style>
  <w:style w:type="character" w:customStyle="1" w:styleId="EndNoteBibliographyTitleTegn">
    <w:name w:val="EndNote Bibliography Title Tegn"/>
    <w:basedOn w:val="Standardskrifttypeiafsnit"/>
    <w:link w:val="EndNoteBibliographyTitle"/>
    <w:rsid w:val="008D5AF9"/>
    <w:rPr>
      <w:rFonts w:ascii="Cambria" w:hAnsi="Cambria"/>
      <w:noProof/>
      <w:sz w:val="26"/>
      <w:lang w:val="en-US"/>
    </w:rPr>
  </w:style>
  <w:style w:type="paragraph" w:customStyle="1" w:styleId="EndNoteBibliography">
    <w:name w:val="EndNote Bibliography"/>
    <w:basedOn w:val="Normal"/>
    <w:link w:val="EndNoteBibliographyTegn"/>
    <w:rsid w:val="008D5AF9"/>
    <w:pPr>
      <w:spacing w:line="240" w:lineRule="auto"/>
    </w:pPr>
    <w:rPr>
      <w:rFonts w:ascii="Cambria" w:hAnsi="Cambria"/>
      <w:noProof/>
      <w:sz w:val="26"/>
      <w:lang w:val="en-US"/>
    </w:rPr>
  </w:style>
  <w:style w:type="character" w:customStyle="1" w:styleId="EndNoteBibliographyTegn">
    <w:name w:val="EndNote Bibliography Tegn"/>
    <w:basedOn w:val="Standardskrifttypeiafsnit"/>
    <w:link w:val="EndNoteBibliography"/>
    <w:rsid w:val="008D5AF9"/>
    <w:rPr>
      <w:rFonts w:ascii="Cambria" w:hAnsi="Cambria"/>
      <w:noProof/>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st.dk/da/udgivelser/2015/anbefalinger-om-forebyggelse-diagnose-og-behandling-af-seksuelt-overfoerbare-infektioner" TargetMode="External"/><Relationship Id="rId4" Type="http://schemas.openxmlformats.org/officeDocument/2006/relationships/settings" Target="settings.xml"/><Relationship Id="rId9" Type="http://schemas.openxmlformats.org/officeDocument/2006/relationships/hyperlink" Target="http://www.ssi.dk"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26534-222B-4AE1-AD08-20B9660F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9655</Words>
  <Characters>58897</Characters>
  <Application>Microsoft Office Word</Application>
  <DocSecurity>0</DocSecurity>
  <Lines>490</Lines>
  <Paragraphs>136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Kiellberg Larsen</dc:creator>
  <cp:keywords/>
  <dc:description/>
  <cp:lastModifiedBy>Christina Skovbølling Haak</cp:lastModifiedBy>
  <cp:revision>2</cp:revision>
  <dcterms:created xsi:type="dcterms:W3CDTF">2021-11-08T13:22:00Z</dcterms:created>
  <dcterms:modified xsi:type="dcterms:W3CDTF">2021-11-08T13:22:00Z</dcterms:modified>
</cp:coreProperties>
</file>