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A136" w14:textId="7D26BF37" w:rsidR="004E2B4D" w:rsidRDefault="004E2B4D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8A2193" w14:textId="77777777" w:rsidR="00601AE3" w:rsidRPr="004E04D9" w:rsidRDefault="00601AE3" w:rsidP="00601AE3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Acitretin</w:t>
      </w:r>
      <w:proofErr w:type="spellEnd"/>
    </w:p>
    <w:p w14:paraId="2336FB3E" w14:textId="77777777" w:rsidR="00601AE3" w:rsidRDefault="00601AE3" w:rsidP="00601AE3">
      <w:pPr>
        <w:spacing w:line="240" w:lineRule="auto"/>
      </w:pPr>
      <w:r>
        <w:t>Dette lægemiddel anvendes til behandling af visse svære hudlidelser, såsom psoriasis og eksem.</w:t>
      </w:r>
      <w:r>
        <w:br/>
      </w:r>
      <w:proofErr w:type="spellStart"/>
      <w:r>
        <w:t>Acitretin</w:t>
      </w:r>
      <w:proofErr w:type="spellEnd"/>
      <w:r>
        <w:t xml:space="preserve"> virker ved at normalisere hudens celledeling og har desuden en immunregulerende effekt.</w:t>
      </w:r>
    </w:p>
    <w:p w14:paraId="0F513026" w14:textId="77777777" w:rsidR="00601AE3" w:rsidRDefault="00601AE3" w:rsidP="00601AE3">
      <w:pPr>
        <w:spacing w:line="240" w:lineRule="auto"/>
      </w:pPr>
      <w:r>
        <w:t>Behandlingen kan være forbundet med bivirkninger, hvilket beskrives i denne information.</w:t>
      </w:r>
      <w:r>
        <w:br/>
        <w:t>Det er væsentligt, at patienter i behandling efterlever den information og vejledning, som den behandlingsansvarlige læge har givet.</w:t>
      </w:r>
      <w:r>
        <w:br/>
      </w:r>
      <w:r>
        <w:br/>
      </w:r>
      <w:r>
        <w:rPr>
          <w:u w:val="single"/>
        </w:rPr>
        <w:t>Bivirkninger</w:t>
      </w:r>
      <w:r>
        <w:t>:</w:t>
      </w:r>
      <w:r>
        <w:br/>
      </w:r>
      <w:proofErr w:type="spellStart"/>
      <w:r>
        <w:t>Acitretin</w:t>
      </w:r>
      <w:proofErr w:type="spellEnd"/>
      <w:r>
        <w:t xml:space="preserve"> kan give tørhed af hud- og slimhinder, hårtab og risiko for leverpåvirkning. Lægemidlet kan påvirke blodets fedtstoffer (kolesterol og triglycerid), hvilket ubehandlet bl.a. kan føre til øget risiko for </w:t>
      </w:r>
      <w:proofErr w:type="spellStart"/>
      <w:r>
        <w:t>hjerte-karsygdom</w:t>
      </w:r>
      <w:proofErr w:type="spellEnd"/>
      <w:r>
        <w:t xml:space="preserve">. Man kan blive mere følsom for sollys under behandlingen. </w:t>
      </w:r>
      <w:r>
        <w:br/>
        <w:t>Der kan opleves ømhed af muskulatur og led særligt efter hårdt fysisk arbejde eller sport. Hvis behandling er påkrævet i flere år, kan der i sjældne tilfælde opstå forkalkning omkring sener og ledbånd.</w:t>
      </w:r>
      <w:r>
        <w:br/>
        <w:t xml:space="preserve">Hvis der opstår depression, aggressiv adfærd, vedvarende trykkende hovedpine med kvalme, opkastning og evt. synsforstyrrelser bør behandling med </w:t>
      </w:r>
      <w:proofErr w:type="spellStart"/>
      <w:r>
        <w:t>acitretin</w:t>
      </w:r>
      <w:proofErr w:type="spellEnd"/>
      <w:r>
        <w:t xml:space="preserve"> ophøre, og patienten skal undersøges af neurolog eller øjenlæge.</w:t>
      </w:r>
    </w:p>
    <w:p w14:paraId="38B0E53E" w14:textId="4148AFD2" w:rsidR="00601AE3" w:rsidRDefault="00601AE3" w:rsidP="00601AE3">
      <w:pPr>
        <w:spacing w:line="240" w:lineRule="auto"/>
        <w:rPr>
          <w:u w:val="single"/>
        </w:rPr>
      </w:pPr>
      <w:r w:rsidRPr="002D1695">
        <w:rPr>
          <w:u w:val="single"/>
        </w:rPr>
        <w:t>Blodprøvekontrol</w:t>
      </w:r>
      <w:r>
        <w:t>:</w:t>
      </w:r>
      <w:r>
        <w:br/>
        <w:t xml:space="preserve">Inden opstart af behandlingen tages blodprøver. </w:t>
      </w:r>
      <w:r>
        <w:br/>
        <w:t>Under behandling kontrolleres blodprøver efter 4 og 8 uger samt efterfølgende hver 3. måned.</w:t>
      </w:r>
      <w:r>
        <w:br/>
        <w:t xml:space="preserve">Hvis relevant kontrolleres graviditetstest hver måned under behandlingen og 3 år efter ophør med behandlingen. </w:t>
      </w:r>
      <w:r>
        <w:br/>
      </w:r>
      <w:r w:rsidRPr="002D1695">
        <w:rPr>
          <w:u w:val="single"/>
        </w:rPr>
        <w:br/>
      </w:r>
    </w:p>
    <w:p w14:paraId="75574147" w14:textId="77777777" w:rsidR="00601AE3" w:rsidRDefault="00601AE3" w:rsidP="00601AE3">
      <w:pPr>
        <w:spacing w:line="240" w:lineRule="auto"/>
        <w:rPr>
          <w:u w:val="single"/>
        </w:rPr>
      </w:pPr>
    </w:p>
    <w:p w14:paraId="2F70451E" w14:textId="77777777" w:rsidR="00601AE3" w:rsidRDefault="00601AE3" w:rsidP="00601AE3">
      <w:pPr>
        <w:spacing w:line="240" w:lineRule="auto"/>
      </w:pPr>
      <w:r w:rsidRPr="002D1695">
        <w:rPr>
          <w:u w:val="single"/>
        </w:rPr>
        <w:t>Alkoholindtagelse</w:t>
      </w:r>
      <w:r>
        <w:t>:</w:t>
      </w:r>
      <w:r>
        <w:br/>
        <w:t xml:space="preserve">Alkoholindtagelse bør begrænses under behandling, og kvinder i fødedygtig alder bør helt undgå alkohol under behandling og 2 måneder efterfølgende. </w:t>
      </w:r>
      <w:r>
        <w:br/>
      </w:r>
      <w:r>
        <w:br/>
      </w:r>
      <w:proofErr w:type="spellStart"/>
      <w:r>
        <w:rPr>
          <w:u w:val="single"/>
        </w:rPr>
        <w:t>Acitretin</w:t>
      </w:r>
      <w:proofErr w:type="spellEnd"/>
      <w:r>
        <w:rPr>
          <w:u w:val="single"/>
        </w:rPr>
        <w:t xml:space="preserve"> og andre medikamenter</w:t>
      </w:r>
      <w:r>
        <w:t>:</w:t>
      </w:r>
      <w:r>
        <w:br/>
      </w:r>
      <w:proofErr w:type="spellStart"/>
      <w:r>
        <w:t>Acitretin</w:t>
      </w:r>
      <w:proofErr w:type="spellEnd"/>
      <w:r>
        <w:t xml:space="preserve"> bør ikke kombineres med Tetracyklin, </w:t>
      </w:r>
      <w:proofErr w:type="spellStart"/>
      <w:r>
        <w:t>Methotrexat</w:t>
      </w:r>
      <w:proofErr w:type="spellEnd"/>
      <w:r>
        <w:t xml:space="preserve"> og høje doser A-vitamin. Ved indtagelse af medicin mod sukkersyge og </w:t>
      </w:r>
      <w:proofErr w:type="spellStart"/>
      <w:r>
        <w:t>Prednisolon</w:t>
      </w:r>
      <w:proofErr w:type="spellEnd"/>
      <w:r>
        <w:t xml:space="preserve"> er der øget risiko for stigning af blodets fedtstoffer. </w:t>
      </w:r>
      <w:r>
        <w:br/>
      </w:r>
      <w:proofErr w:type="spellStart"/>
      <w:r>
        <w:t>Acitretin</w:t>
      </w:r>
      <w:proofErr w:type="spellEnd"/>
      <w:r>
        <w:t xml:space="preserve"> kan mindske effekten af </w:t>
      </w:r>
      <w:proofErr w:type="spellStart"/>
      <w:r>
        <w:t>mini-piller</w:t>
      </w:r>
      <w:proofErr w:type="spellEnd"/>
      <w:r>
        <w:t>.</w:t>
      </w:r>
      <w:r>
        <w:br/>
      </w:r>
      <w:r>
        <w:br/>
      </w:r>
      <w:r w:rsidRPr="002D1695">
        <w:rPr>
          <w:u w:val="single"/>
        </w:rPr>
        <w:t>Graviditet</w:t>
      </w:r>
      <w:r>
        <w:rPr>
          <w:u w:val="single"/>
        </w:rPr>
        <w:t xml:space="preserve"> og amning</w:t>
      </w:r>
      <w:r>
        <w:t>:</w:t>
      </w:r>
      <w:r>
        <w:br/>
        <w:t xml:space="preserve">Idet </w:t>
      </w:r>
      <w:proofErr w:type="spellStart"/>
      <w:r>
        <w:t>Acitretin</w:t>
      </w:r>
      <w:proofErr w:type="spellEnd"/>
      <w:r>
        <w:t xml:space="preserve"> er svært fosterskadende, skal graviditet og amning undgås under behandling og 3 år efterfølgende. Hvis </w:t>
      </w:r>
      <w:r>
        <w:t>graviditet indtræder, skal dette medføre abort. Der skal anvendes mindst 1 type sikker prævention (p-piller, p-implantat eller spiral).</w:t>
      </w:r>
      <w:r>
        <w:br/>
        <w:t xml:space="preserve">Hvis kvinder i fødedygtig alder påbegynder </w:t>
      </w:r>
      <w:proofErr w:type="spellStart"/>
      <w:r>
        <w:t>acitretin</w:t>
      </w:r>
      <w:proofErr w:type="spellEnd"/>
      <w:r>
        <w:t>, skal de bekræfte at have forstået risikoen og forholdsregler forbundet med behandlingen. Dette gælder også kvinder, som for øjeblikket ikke er seksuelt aktive.</w:t>
      </w:r>
      <w:r>
        <w:br/>
      </w:r>
      <w:proofErr w:type="spellStart"/>
      <w:r>
        <w:t>Acitretin</w:t>
      </w:r>
      <w:proofErr w:type="spellEnd"/>
      <w:r>
        <w:t xml:space="preserve"> har ingen indflydelse på sædceller.</w:t>
      </w:r>
    </w:p>
    <w:p w14:paraId="0118615A" w14:textId="77777777" w:rsidR="00601AE3" w:rsidRDefault="00601AE3" w:rsidP="00601AE3">
      <w:pPr>
        <w:spacing w:line="240" w:lineRule="auto"/>
      </w:pPr>
    </w:p>
    <w:p w14:paraId="1F5B57D2" w14:textId="77777777" w:rsidR="00601AE3" w:rsidRDefault="00601AE3" w:rsidP="00601AE3">
      <w:pPr>
        <w:spacing w:line="240" w:lineRule="auto"/>
      </w:pPr>
      <w:proofErr w:type="spellStart"/>
      <w:r>
        <w:t>Acitretin</w:t>
      </w:r>
      <w:proofErr w:type="spellEnd"/>
      <w:r>
        <w:t xml:space="preserve"> må aldrig gives til andre og alle ubrugte kapsler afleveres på apoteket ved behandlingens afslutning.</w:t>
      </w:r>
    </w:p>
    <w:p w14:paraId="38F40329" w14:textId="0429FE0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A0447D6" w14:textId="7144B40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BB8832" w14:textId="7C64D894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58DB1" w14:textId="72A996B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08CFE3" w14:textId="401C21C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4912A2" w14:textId="185C98E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63D8A0" w14:textId="187A36C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939901" w14:textId="70617DB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22060A" w14:textId="1F4E9F0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369606" w14:textId="1726218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1C8A2" w14:textId="6CDAC15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384CA6" w14:textId="4DE1439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9BB2F" w14:textId="02BEEC0B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722009" w14:textId="4243E26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512777" w14:textId="6163D3D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C320F2" w14:textId="51D3BA1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968D1F" w14:textId="24B0C1C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065E70" w14:textId="0B61A73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578E44" w14:textId="05F9988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5D3401" w14:textId="39A0F6B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25709E" w14:textId="0A5E48B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17B2B3" w14:textId="4E2F554B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E7F70A" w14:textId="45FCF77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AEC9AE" w14:textId="107BE132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7AEB7D" w14:textId="35A920A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57A03C" w14:textId="20AADC4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D1C917" w14:textId="6C1C58C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860FC7" w14:textId="3017FE2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E65EE" w14:textId="431918A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D48E0C" w14:textId="595A3D1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CBC2FA" w14:textId="7803EF72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5E791" w14:textId="5F9188F4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3FEC54" w14:textId="485A3DB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FF52CD" w14:textId="061865D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074A4F" w14:textId="3FBA9FC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9152E9" w14:textId="6326B3D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CF5C55" w14:textId="54161F6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C00CFB" w14:textId="35BEF37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8F06DA" w14:textId="7F06C53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C9B2AA" w14:textId="71D8072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9897B4" w14:textId="0400912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CD9149" w14:textId="7D4B6A9E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462C14" w14:textId="0C15DEB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0D2DED" w14:textId="1AA7C01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809715" w14:textId="5030D5F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8D8706" w14:textId="5C81DBA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D473D9" w14:textId="7D6D586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E5119A" w14:textId="7CE124F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54511A" w14:textId="11B83AF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BB24D7" w14:textId="1D8149C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F788C6" w14:textId="4A46B99E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4BCA40" w14:textId="749AC9A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36BB52" w14:textId="5BBD26B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82D994" w14:textId="70E1C4D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49C0FB" w14:textId="487D293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A3CAA7" w14:textId="1AA212B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B45968" w14:textId="5FD6D8B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4436C6" w14:textId="63F62B6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EC410B" w14:textId="0388446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B4CB35" w14:textId="3BE4750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6AD0BB" w14:textId="0AD67672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8AA517" w14:textId="41EC4D9B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69FC84" w14:textId="7A09192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1819FB" w14:textId="19A9A06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7B70AD" w14:textId="699E6DD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E8DEDE" w14:textId="69BADDF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E21530" w14:textId="3C539EB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FCA8DF" w14:textId="6DE75D6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F75C49" w14:textId="2F9C3FF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4E288B" w14:textId="0976191E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AE455B" w14:textId="42A7630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8F4C34" w14:textId="566B2B0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5D7D1C" w14:textId="65957A6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85BC74" w14:textId="4F9B6B5B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726B43" w14:textId="78899DB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744E0C" w14:textId="52E2F0C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3D15DB" w14:textId="2D7C588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D61C7" w14:textId="177CD94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A72A71" w14:textId="471401C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93EE47" w14:textId="7728F73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A15950" w14:textId="3DEC4BF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2B5751" w14:textId="72C1795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580FCA" w14:textId="6462797E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DBD10F" w14:textId="7BEFF0B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F23BCD" w14:textId="6DECFE9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F0B064" w14:textId="27ABC0C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0F3A9C" w14:textId="7A481B8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5423D8" w14:textId="25EFE95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D685B7" w14:textId="63D4ADA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168FFE" w14:textId="099F098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3E0685" w14:textId="278CDAC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B2FD68" w14:textId="2AB0603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66F05F" w14:textId="47204BA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03D32F" w14:textId="56C999C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1D29C2" w14:textId="6CD7AF5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6FBCAF" w14:textId="3EA65214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A78E34" w14:textId="7007188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462494" w14:textId="2CF61AB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6B5C87" w14:textId="49C9B1E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BA1B45" w14:textId="53B4FCAF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4E9E83" w14:textId="2023F8B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0A026A" w14:textId="5E0B663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5E01CE" w14:textId="0F783F4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1FB7E6" w14:textId="42DE9BC4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0A844B" w14:textId="3B82262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FDCDFB" w14:textId="45D3D1A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1FBC3A" w14:textId="5E84E9D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0CB999" w14:textId="7F38F52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21B973" w14:textId="73D45A5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9B05EA" w14:textId="3A3EA5F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71EB45" w14:textId="7D5B772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F7F3A2" w14:textId="1B4A521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3CE839" w14:textId="74A5835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AC4FAA" w14:textId="4978E2EE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A6AAD0" w14:textId="3DF3CC0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E7C412" w14:textId="7259CCF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19052E" w14:textId="2CE8B3D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47275F" w14:textId="22BE6E8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A33D88" w14:textId="577C7A5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6E908E" w14:textId="75AC8AD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56A86D" w14:textId="52884D7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10AF69" w14:textId="65263F89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60564C" w14:textId="15DB47D3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5F358F" w14:textId="1796628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4DA123" w14:textId="602BB75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25A016" w14:textId="267B1BC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E6369A" w14:textId="29C99574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773F02" w14:textId="3AB90E9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7168AE" w14:textId="61C9D36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BFB105" w14:textId="52F6D2C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1CEF9" w14:textId="7A6E11C0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ABF725" w14:textId="3F354525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AA7C46" w14:textId="1C6E6F7C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B7AACF" w14:textId="48209AF8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E5F8C8" w14:textId="0285DE96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B8D05F" w14:textId="211EA8FA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454ED8" w14:textId="6DEE8E0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CABEE3" w14:textId="4409F47D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F2875C" w14:textId="77777777" w:rsidR="00601AE3" w:rsidRDefault="00601AE3" w:rsidP="004E2B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1A10A0" w14:textId="781DC3EE" w:rsidR="00DD414A" w:rsidRPr="00DD414A" w:rsidRDefault="008A598E" w:rsidP="004E2B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14A" w:rsidRPr="00DD414A">
        <w:rPr>
          <w:rFonts w:ascii="Arial" w:hAnsi="Arial" w:cs="Arial"/>
          <w:sz w:val="28"/>
          <w:szCs w:val="28"/>
        </w:rPr>
        <w:t xml:space="preserve">Hudlægen informerer om </w:t>
      </w:r>
    </w:p>
    <w:p w14:paraId="3E5D8412" w14:textId="5F0CC52B" w:rsidR="002814FE" w:rsidRPr="00DD414A" w:rsidRDefault="00DD414A" w:rsidP="00DD414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Pr="00DD414A">
        <w:rPr>
          <w:rFonts w:ascii="Arial" w:hAnsi="Arial" w:cs="Arial"/>
          <w:sz w:val="40"/>
          <w:szCs w:val="40"/>
        </w:rPr>
        <w:t>Neotigason</w:t>
      </w:r>
    </w:p>
    <w:p w14:paraId="5EAC4E6A" w14:textId="13492921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EA5D0F" w14:textId="7400B867" w:rsidR="002814FE" w:rsidRDefault="002814F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BC765B" w14:textId="34D6D7F2" w:rsidR="008A598E" w:rsidRPr="007B2AAC" w:rsidRDefault="008A598E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10D10" w14:textId="35D729C7" w:rsidR="004E2B4D" w:rsidRPr="007B2AAC" w:rsidRDefault="004E2B4D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7F2190" w14:textId="162216F1" w:rsidR="004E2B4D" w:rsidRPr="007B2AAC" w:rsidRDefault="008A598E" w:rsidP="008A598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FBEDC80" wp14:editId="181DDFA9">
            <wp:extent cx="1798320" cy="17983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769CE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E2CB2C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990776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C027B6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C0560B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B1D79B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A95FED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D1E270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E8A647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3F9F20" w14:textId="77777777" w:rsidR="004E2B4D" w:rsidRPr="007B2AAC" w:rsidRDefault="004E2B4D" w:rsidP="004E2B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C86457" w14:textId="77777777" w:rsidR="007B2AAC" w:rsidRDefault="007B2AAC" w:rsidP="007B2AAC">
      <w:pPr>
        <w:spacing w:line="240" w:lineRule="auto"/>
        <w:ind w:left="1276"/>
        <w:jc w:val="center"/>
        <w:rPr>
          <w:rFonts w:ascii="Arial" w:hAnsi="Arial" w:cs="Arial"/>
          <w:sz w:val="24"/>
          <w:szCs w:val="28"/>
        </w:rPr>
      </w:pPr>
    </w:p>
    <w:sectPr w:rsidR="007B2AAC" w:rsidSect="002F6B79">
      <w:pgSz w:w="16838" w:h="11906" w:orient="landscape" w:code="9"/>
      <w:pgMar w:top="1134" w:right="1077" w:bottom="1134" w:left="1077" w:header="0" w:footer="0" w:gutter="0"/>
      <w:cols w:num="3" w:space="141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4"/>
    <w:rsid w:val="0005653D"/>
    <w:rsid w:val="0012205C"/>
    <w:rsid w:val="00153A27"/>
    <w:rsid w:val="00204D15"/>
    <w:rsid w:val="002814FE"/>
    <w:rsid w:val="002F6B79"/>
    <w:rsid w:val="00410334"/>
    <w:rsid w:val="004215CD"/>
    <w:rsid w:val="004325B6"/>
    <w:rsid w:val="00456762"/>
    <w:rsid w:val="004E2B4D"/>
    <w:rsid w:val="005E2FA2"/>
    <w:rsid w:val="00601AE3"/>
    <w:rsid w:val="00701921"/>
    <w:rsid w:val="00780A14"/>
    <w:rsid w:val="007B2AAC"/>
    <w:rsid w:val="00896C73"/>
    <w:rsid w:val="008A598E"/>
    <w:rsid w:val="00913AFD"/>
    <w:rsid w:val="0095750E"/>
    <w:rsid w:val="00A77B7F"/>
    <w:rsid w:val="00AF6BAC"/>
    <w:rsid w:val="00B604C3"/>
    <w:rsid w:val="00D50D80"/>
    <w:rsid w:val="00DD212D"/>
    <w:rsid w:val="00DD414A"/>
    <w:rsid w:val="00DF7BE6"/>
    <w:rsid w:val="00E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AD66"/>
  <w15:docId w15:val="{95806525-F062-4B72-A971-E5977D6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1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3817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qFormat/>
    <w:rsid w:val="004608D6"/>
  </w:style>
  <w:style w:type="character" w:styleId="Hyperlink">
    <w:name w:val="Hyperlink"/>
    <w:basedOn w:val="Standardskrifttypeiafsnit"/>
    <w:uiPriority w:val="99"/>
    <w:rsid w:val="004608D6"/>
    <w:rPr>
      <w:color w:val="0000FF"/>
      <w:u w:val="single"/>
    </w:rPr>
  </w:style>
  <w:style w:type="paragraph" w:styleId="Overskrift">
    <w:name w:val="TOC Heading"/>
    <w:basedOn w:val="Normal"/>
    <w:next w:val="Brdtekst"/>
    <w:qFormat/>
    <w:rsid w:val="00780A14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rsid w:val="00780A14"/>
    <w:pPr>
      <w:spacing w:after="140" w:line="288" w:lineRule="auto"/>
    </w:pPr>
  </w:style>
  <w:style w:type="paragraph" w:styleId="Liste">
    <w:name w:val="List"/>
    <w:basedOn w:val="Brdtekst"/>
    <w:rsid w:val="00780A14"/>
    <w:rPr>
      <w:rFonts w:ascii="Verdana" w:hAnsi="Verdana" w:cs="Mangal"/>
    </w:rPr>
  </w:style>
  <w:style w:type="paragraph" w:customStyle="1" w:styleId="Billedtekst1">
    <w:name w:val="Billedtekst1"/>
    <w:basedOn w:val="Normal"/>
    <w:qFormat/>
    <w:rsid w:val="00780A14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rsid w:val="00780A14"/>
    <w:pPr>
      <w:suppressLineNumbers/>
    </w:pPr>
    <w:rPr>
      <w:rFonts w:ascii="Verdana" w:hAnsi="Verdana"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3817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"/>
    <w:qFormat/>
    <w:rsid w:val="004608D6"/>
    <w:pPr>
      <w:spacing w:after="0" w:line="240" w:lineRule="auto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C02D-0F0B-44EE-84E6-DAA5EA3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Skov</dc:creator>
  <cp:lastModifiedBy>Christina Haak</cp:lastModifiedBy>
  <cp:revision>2</cp:revision>
  <cp:lastPrinted>2020-02-05T11:55:00Z</cp:lastPrinted>
  <dcterms:created xsi:type="dcterms:W3CDTF">2021-11-14T17:31:00Z</dcterms:created>
  <dcterms:modified xsi:type="dcterms:W3CDTF">2021-11-14T17:31:00Z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Hovedstaden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