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0DA9" w14:textId="77777777" w:rsidR="00EF53A7" w:rsidRDefault="00EF53A7" w:rsidP="003857F1">
      <w:pPr>
        <w:jc w:val="center"/>
        <w:rPr>
          <w:rFonts w:cs="Arial"/>
          <w:b/>
          <w:sz w:val="32"/>
          <w:szCs w:val="22"/>
        </w:rPr>
      </w:pPr>
    </w:p>
    <w:p w14:paraId="425E86E3" w14:textId="071F6BDF" w:rsidR="003857F1" w:rsidRDefault="003857F1" w:rsidP="003857F1">
      <w:pPr>
        <w:jc w:val="center"/>
        <w:rPr>
          <w:rFonts w:cs="Arial"/>
          <w:b/>
          <w:sz w:val="32"/>
          <w:szCs w:val="22"/>
        </w:rPr>
      </w:pPr>
      <w:r w:rsidRPr="0061330E">
        <w:rPr>
          <w:rFonts w:cs="Arial"/>
          <w:b/>
          <w:sz w:val="32"/>
          <w:szCs w:val="22"/>
        </w:rPr>
        <w:t xml:space="preserve">Non-ablativ fraktioneret laserbehandling (1540 /1550 nm) </w:t>
      </w:r>
    </w:p>
    <w:p w14:paraId="3F6999F1" w14:textId="77777777" w:rsidR="003857F1" w:rsidRPr="0061330E" w:rsidRDefault="003857F1" w:rsidP="003857F1">
      <w:pPr>
        <w:jc w:val="center"/>
        <w:rPr>
          <w:rFonts w:cs="Arial"/>
          <w:b/>
          <w:sz w:val="32"/>
          <w:szCs w:val="22"/>
        </w:rPr>
      </w:pPr>
      <w:r w:rsidRPr="0061330E">
        <w:rPr>
          <w:rFonts w:cs="Arial"/>
          <w:b/>
          <w:sz w:val="32"/>
          <w:szCs w:val="22"/>
        </w:rPr>
        <w:t>til ar og hudforyngelse</w:t>
      </w:r>
    </w:p>
    <w:p w14:paraId="51438678" w14:textId="77777777" w:rsidR="003857F1" w:rsidRPr="0061330E" w:rsidRDefault="003857F1" w:rsidP="003857F1">
      <w:pPr>
        <w:ind w:left="75"/>
        <w:jc w:val="both"/>
        <w:rPr>
          <w:rFonts w:cs="Arial"/>
          <w:b/>
          <w:sz w:val="24"/>
          <w:szCs w:val="22"/>
        </w:rPr>
      </w:pPr>
    </w:p>
    <w:p w14:paraId="268A9438" w14:textId="77777777" w:rsidR="003857F1" w:rsidRDefault="003857F1" w:rsidP="003857F1">
      <w:pPr>
        <w:pStyle w:val="Overskrift2"/>
        <w:jc w:val="both"/>
        <w:rPr>
          <w:rFonts w:eastAsiaTheme="minorEastAsia"/>
          <w:b/>
          <w:bCs/>
          <w:szCs w:val="24"/>
        </w:rPr>
      </w:pPr>
      <w:r>
        <w:rPr>
          <w:rFonts w:eastAsiaTheme="minorEastAsia"/>
          <w:b/>
          <w:bCs/>
          <w:szCs w:val="24"/>
        </w:rPr>
        <w:t>Hvad er non-ablativ fraktioneret laserbehandling (NAFL)?</w:t>
      </w:r>
    </w:p>
    <w:p w14:paraId="2D64EE07" w14:textId="77777777" w:rsidR="003857F1" w:rsidRPr="003E56D6" w:rsidRDefault="003857F1" w:rsidP="003857F1">
      <w:pPr>
        <w:jc w:val="both"/>
        <w:rPr>
          <w:color w:val="212529"/>
          <w:spacing w:val="3"/>
          <w:sz w:val="24"/>
          <w:szCs w:val="24"/>
        </w:rPr>
      </w:pPr>
      <w:r w:rsidRPr="003E56D6">
        <w:rPr>
          <w:rFonts w:eastAsiaTheme="minorEastAsia"/>
          <w:sz w:val="24"/>
          <w:szCs w:val="24"/>
        </w:rPr>
        <w:t xml:space="preserve">Ved NAFL-behandling laver laserstrålen varmepåvirkning af huden i søjler. Laserlyset påvirker fortrinsvis underhuden, som stimuleres til at danne nyt bindevæv.  Overhuden efterlades intakt. </w:t>
      </w:r>
      <w:r>
        <w:rPr>
          <w:rFonts w:eastAsiaTheme="minorEastAsia"/>
          <w:sz w:val="24"/>
          <w:szCs w:val="24"/>
        </w:rPr>
        <w:t xml:space="preserve">NAFL kan anvendes til at reducere </w:t>
      </w:r>
      <w:r w:rsidRPr="003E56D6">
        <w:rPr>
          <w:color w:val="212529"/>
          <w:spacing w:val="3"/>
          <w:sz w:val="24"/>
          <w:szCs w:val="24"/>
        </w:rPr>
        <w:t>fine linjer</w:t>
      </w:r>
      <w:r>
        <w:rPr>
          <w:color w:val="212529"/>
          <w:spacing w:val="3"/>
          <w:sz w:val="24"/>
          <w:szCs w:val="24"/>
        </w:rPr>
        <w:t xml:space="preserve">, strækmærker, </w:t>
      </w:r>
      <w:proofErr w:type="spellStart"/>
      <w:r w:rsidRPr="003E56D6">
        <w:rPr>
          <w:color w:val="212529"/>
          <w:spacing w:val="3"/>
          <w:sz w:val="24"/>
          <w:szCs w:val="24"/>
        </w:rPr>
        <w:t>a</w:t>
      </w:r>
      <w:r>
        <w:rPr>
          <w:color w:val="212529"/>
          <w:spacing w:val="3"/>
          <w:sz w:val="24"/>
          <w:szCs w:val="24"/>
        </w:rPr>
        <w:t>k</w:t>
      </w:r>
      <w:r w:rsidRPr="003E56D6">
        <w:rPr>
          <w:color w:val="212529"/>
          <w:spacing w:val="3"/>
          <w:sz w:val="24"/>
          <w:szCs w:val="24"/>
        </w:rPr>
        <w:t>ne</w:t>
      </w:r>
      <w:r>
        <w:rPr>
          <w:color w:val="212529"/>
          <w:spacing w:val="3"/>
          <w:sz w:val="24"/>
          <w:szCs w:val="24"/>
        </w:rPr>
        <w:t>ar</w:t>
      </w:r>
      <w:proofErr w:type="spellEnd"/>
      <w:r w:rsidRPr="003E56D6">
        <w:rPr>
          <w:color w:val="212529"/>
          <w:spacing w:val="3"/>
          <w:sz w:val="24"/>
          <w:szCs w:val="24"/>
        </w:rPr>
        <w:t xml:space="preserve"> og brandsår.</w:t>
      </w:r>
    </w:p>
    <w:p w14:paraId="140C598A" w14:textId="77777777" w:rsidR="003857F1" w:rsidRPr="00334E62" w:rsidRDefault="003857F1" w:rsidP="003857F1">
      <w:pPr>
        <w:jc w:val="both"/>
        <w:rPr>
          <w:rFonts w:eastAsiaTheme="minorEastAsia"/>
        </w:rPr>
      </w:pPr>
      <w:r>
        <w:rPr>
          <w:rFonts w:ascii="Open Sans" w:hAnsi="Open Sans" w:cs="Segoe UI"/>
          <w:color w:val="212529"/>
          <w:spacing w:val="3"/>
          <w:sz w:val="21"/>
          <w:szCs w:val="21"/>
        </w:rPr>
        <w:t> </w:t>
      </w:r>
    </w:p>
    <w:p w14:paraId="38D3B230" w14:textId="77777777" w:rsidR="003857F1" w:rsidRPr="00981D8C" w:rsidRDefault="003857F1" w:rsidP="003857F1">
      <w:pPr>
        <w:pStyle w:val="Overskrift2"/>
        <w:jc w:val="both"/>
        <w:rPr>
          <w:rFonts w:eastAsiaTheme="minorEastAsia"/>
          <w:b/>
          <w:bCs/>
          <w:szCs w:val="24"/>
        </w:rPr>
      </w:pPr>
      <w:r w:rsidRPr="00981D8C">
        <w:rPr>
          <w:rFonts w:cs="Arial"/>
          <w:b/>
          <w:szCs w:val="22"/>
        </w:rPr>
        <w:t>Før behandlingen</w:t>
      </w:r>
    </w:p>
    <w:p w14:paraId="2C67B7FA" w14:textId="77777777" w:rsidR="003857F1" w:rsidRPr="003845AE" w:rsidRDefault="003857F1" w:rsidP="003857F1">
      <w:pPr>
        <w:widowControl w:val="0"/>
        <w:autoSpaceDE w:val="0"/>
        <w:autoSpaceDN w:val="0"/>
        <w:adjustRightInd w:val="0"/>
        <w:spacing w:after="200"/>
        <w:ind w:right="-380"/>
        <w:jc w:val="both"/>
        <w:rPr>
          <w:sz w:val="24"/>
          <w:szCs w:val="24"/>
        </w:rPr>
      </w:pPr>
      <w:r>
        <w:rPr>
          <w:sz w:val="24"/>
          <w:szCs w:val="24"/>
        </w:rPr>
        <w:t xml:space="preserve">Der må ikke anvendes selvbrunende creme i 14 dage før behandlingen. Pudder og </w:t>
      </w:r>
      <w:proofErr w:type="spellStart"/>
      <w:r>
        <w:rPr>
          <w:sz w:val="24"/>
          <w:szCs w:val="24"/>
        </w:rPr>
        <w:t>foundation</w:t>
      </w:r>
      <w:proofErr w:type="spellEnd"/>
      <w:r>
        <w:rPr>
          <w:sz w:val="24"/>
          <w:szCs w:val="24"/>
        </w:rPr>
        <w:t xml:space="preserve"> skal fjernes helt inden behandlingen. </w:t>
      </w:r>
      <w:r w:rsidRPr="00C5310F">
        <w:rPr>
          <w:sz w:val="24"/>
          <w:szCs w:val="24"/>
        </w:rPr>
        <w:t>Før behandlingen tages der billeder af behandlingsområdet. Billederne opbevares sammen med det øvrige journalmateriale fortroligt.</w:t>
      </w:r>
      <w:r>
        <w:rPr>
          <w:sz w:val="24"/>
          <w:szCs w:val="24"/>
        </w:rPr>
        <w:t xml:space="preserve"> Der kan gives lokal bedøvende creme ½-1 time forud for behandling med NAFL.</w:t>
      </w:r>
    </w:p>
    <w:p w14:paraId="2209B1D0" w14:textId="77777777" w:rsidR="003857F1" w:rsidRPr="00981D8C" w:rsidRDefault="003857F1" w:rsidP="003857F1">
      <w:pPr>
        <w:jc w:val="both"/>
        <w:rPr>
          <w:b/>
          <w:bCs/>
          <w:color w:val="423A3A"/>
          <w:sz w:val="24"/>
          <w:szCs w:val="24"/>
        </w:rPr>
      </w:pPr>
      <w:r w:rsidRPr="00981D8C">
        <w:rPr>
          <w:b/>
          <w:bCs/>
          <w:color w:val="423A3A"/>
          <w:sz w:val="24"/>
          <w:szCs w:val="24"/>
        </w:rPr>
        <w:t>Behandlingen</w:t>
      </w:r>
    </w:p>
    <w:p w14:paraId="68F730AE" w14:textId="77777777" w:rsidR="003857F1" w:rsidRDefault="003857F1" w:rsidP="003857F1">
      <w:pPr>
        <w:jc w:val="both"/>
        <w:rPr>
          <w:bCs/>
          <w:color w:val="423A3A"/>
          <w:sz w:val="24"/>
          <w:szCs w:val="24"/>
        </w:rPr>
      </w:pPr>
      <w:r>
        <w:rPr>
          <w:bCs/>
          <w:color w:val="423A3A"/>
          <w:sz w:val="24"/>
          <w:szCs w:val="24"/>
        </w:rPr>
        <w:t xml:space="preserve">NAFL giver en forbigående prikkende, stikkende eller brændende smerte. </w:t>
      </w:r>
    </w:p>
    <w:p w14:paraId="6E138549" w14:textId="77777777" w:rsidR="003857F1" w:rsidRDefault="003857F1" w:rsidP="003857F1">
      <w:pPr>
        <w:jc w:val="both"/>
      </w:pPr>
    </w:p>
    <w:p w14:paraId="7DED27F1" w14:textId="77777777" w:rsidR="003857F1" w:rsidRDefault="003857F1" w:rsidP="003857F1">
      <w:pPr>
        <w:jc w:val="both"/>
        <w:rPr>
          <w:b/>
          <w:bCs/>
          <w:sz w:val="24"/>
          <w:szCs w:val="24"/>
        </w:rPr>
      </w:pPr>
      <w:r w:rsidRPr="001C0127">
        <w:rPr>
          <w:b/>
          <w:sz w:val="24"/>
          <w:szCs w:val="24"/>
        </w:rPr>
        <w:t>Forventet effekt af behandlingen</w:t>
      </w:r>
    </w:p>
    <w:p w14:paraId="0E225472" w14:textId="77777777" w:rsidR="003857F1" w:rsidRPr="005B2B0E" w:rsidRDefault="003857F1" w:rsidP="003857F1">
      <w:pPr>
        <w:jc w:val="both"/>
        <w:rPr>
          <w:bCs/>
          <w:sz w:val="24"/>
          <w:szCs w:val="24"/>
        </w:rPr>
      </w:pPr>
      <w:r w:rsidRPr="005B2B0E">
        <w:rPr>
          <w:bCs/>
          <w:sz w:val="24"/>
          <w:szCs w:val="24"/>
        </w:rPr>
        <w:t>Umiddelbart efter behandlingen</w:t>
      </w:r>
      <w:r>
        <w:rPr>
          <w:bCs/>
          <w:sz w:val="24"/>
          <w:szCs w:val="24"/>
        </w:rPr>
        <w:t xml:space="preserve"> er huden rød og hævet. Rødmen og hævelsen kan vare nogle dage. </w:t>
      </w:r>
      <w:r w:rsidRPr="005B2B0E">
        <w:rPr>
          <w:bCs/>
          <w:sz w:val="24"/>
          <w:szCs w:val="24"/>
        </w:rPr>
        <w:t>Mens huden heler, vil der ofte være kløe/en prikkende fornemmelse, og huden kan føles tør og ru.</w:t>
      </w:r>
      <w:r>
        <w:rPr>
          <w:bCs/>
          <w:sz w:val="24"/>
          <w:szCs w:val="24"/>
        </w:rPr>
        <w:t xml:space="preserve"> Brug en fugtighedscreme som daglig pleje efter behandlingen.</w:t>
      </w:r>
    </w:p>
    <w:p w14:paraId="560E51AF" w14:textId="77777777" w:rsidR="003857F1" w:rsidRDefault="003857F1" w:rsidP="003857F1">
      <w:pPr>
        <w:jc w:val="both"/>
        <w:rPr>
          <w:b/>
          <w:bCs/>
          <w:sz w:val="24"/>
          <w:szCs w:val="24"/>
        </w:rPr>
      </w:pPr>
    </w:p>
    <w:p w14:paraId="7E609038" w14:textId="77777777" w:rsidR="003857F1" w:rsidRDefault="003857F1" w:rsidP="003857F1">
      <w:pPr>
        <w:jc w:val="both"/>
        <w:rPr>
          <w:b/>
          <w:bCs/>
          <w:sz w:val="24"/>
          <w:szCs w:val="24"/>
        </w:rPr>
      </w:pPr>
      <w:r w:rsidRPr="00981D8C">
        <w:rPr>
          <w:b/>
          <w:bCs/>
          <w:sz w:val="24"/>
          <w:szCs w:val="24"/>
        </w:rPr>
        <w:t>Bivirkninger</w:t>
      </w:r>
    </w:p>
    <w:p w14:paraId="5989B8E4" w14:textId="77777777" w:rsidR="003857F1" w:rsidRPr="005B2B0E" w:rsidRDefault="003857F1" w:rsidP="003857F1">
      <w:pPr>
        <w:jc w:val="both"/>
        <w:rPr>
          <w:bCs/>
          <w:sz w:val="24"/>
          <w:szCs w:val="24"/>
        </w:rPr>
      </w:pPr>
      <w:r>
        <w:rPr>
          <w:bCs/>
          <w:sz w:val="24"/>
          <w:szCs w:val="24"/>
        </w:rPr>
        <w:t xml:space="preserve">Behandlingen kan medføre ændringer i hudens farve i form af mørkere og lysere hud. I sjældne tilfælde kan der komme overfladiske sår, som kan efterlade ar på huden. Hvis der kommer infektion i området, er risikoen for synlige ar større. </w:t>
      </w:r>
      <w:r w:rsidRPr="00B93CC2">
        <w:rPr>
          <w:bCs/>
          <w:sz w:val="24"/>
          <w:szCs w:val="24"/>
        </w:rPr>
        <w:t>Der er risiko for, at a</w:t>
      </w:r>
      <w:r>
        <w:rPr>
          <w:bCs/>
          <w:sz w:val="24"/>
          <w:szCs w:val="24"/>
        </w:rPr>
        <w:t>k</w:t>
      </w:r>
      <w:r w:rsidRPr="00B93CC2">
        <w:rPr>
          <w:bCs/>
          <w:sz w:val="24"/>
          <w:szCs w:val="24"/>
        </w:rPr>
        <w:t xml:space="preserve">ne kan bryde ud i </w:t>
      </w:r>
      <w:proofErr w:type="spellStart"/>
      <w:r w:rsidRPr="00B93CC2">
        <w:rPr>
          <w:bCs/>
          <w:sz w:val="24"/>
          <w:szCs w:val="24"/>
        </w:rPr>
        <w:t>ophelingsfasen</w:t>
      </w:r>
      <w:proofErr w:type="spellEnd"/>
      <w:r>
        <w:rPr>
          <w:bCs/>
          <w:sz w:val="24"/>
          <w:szCs w:val="24"/>
        </w:rPr>
        <w:t>. Der er større risiko for bivirkninger hvis huden udsættes for sollys i forbindelse med behandlingen. Det anbefales derfor solbeskyttelse i ugerne før, under og efter behandling med NAFL og som minimum så længe der er rødme. I nogen tilfælde kan der ses aftryk efter laserbehandling.</w:t>
      </w:r>
    </w:p>
    <w:p w14:paraId="1386E91C" w14:textId="77777777" w:rsidR="003857F1" w:rsidRDefault="003857F1" w:rsidP="003857F1">
      <w:pPr>
        <w:jc w:val="both"/>
        <w:rPr>
          <w:b/>
          <w:bCs/>
          <w:sz w:val="24"/>
          <w:szCs w:val="24"/>
        </w:rPr>
      </w:pPr>
    </w:p>
    <w:p w14:paraId="39A98853" w14:textId="77777777" w:rsidR="003857F1" w:rsidRDefault="003857F1" w:rsidP="003857F1">
      <w:pPr>
        <w:jc w:val="both"/>
        <w:rPr>
          <w:b/>
          <w:color w:val="423A3A"/>
          <w:sz w:val="24"/>
          <w:szCs w:val="24"/>
        </w:rPr>
      </w:pPr>
      <w:r>
        <w:rPr>
          <w:b/>
          <w:color w:val="423A3A"/>
          <w:sz w:val="24"/>
          <w:szCs w:val="24"/>
        </w:rPr>
        <w:t>Forsigtighedsregler</w:t>
      </w:r>
    </w:p>
    <w:p w14:paraId="37DFB7FD" w14:textId="77777777" w:rsidR="003857F1" w:rsidRDefault="003857F1" w:rsidP="003857F1">
      <w:pPr>
        <w:jc w:val="both"/>
        <w:rPr>
          <w:color w:val="423A3A"/>
          <w:sz w:val="24"/>
          <w:szCs w:val="24"/>
        </w:rPr>
      </w:pPr>
      <w:r>
        <w:rPr>
          <w:color w:val="423A3A"/>
          <w:sz w:val="24"/>
          <w:szCs w:val="24"/>
        </w:rPr>
        <w:t>Du må ikke være gravid eller ammende når du modtager NAFL behandling. Der behandles ikke med NAFL hvis der er infektion i behandlingsområdet.</w:t>
      </w:r>
    </w:p>
    <w:p w14:paraId="1CA2249A" w14:textId="77777777" w:rsidR="003857F1" w:rsidRPr="00D07B0E" w:rsidRDefault="003857F1" w:rsidP="003857F1">
      <w:pPr>
        <w:jc w:val="both"/>
        <w:rPr>
          <w:color w:val="423A3A"/>
          <w:sz w:val="24"/>
          <w:szCs w:val="24"/>
        </w:rPr>
      </w:pPr>
    </w:p>
    <w:p w14:paraId="1362EA8F" w14:textId="77777777" w:rsidR="003857F1" w:rsidRPr="00981D8C" w:rsidRDefault="003857F1" w:rsidP="003857F1">
      <w:pPr>
        <w:jc w:val="both"/>
        <w:rPr>
          <w:b/>
          <w:bCs/>
          <w:sz w:val="24"/>
          <w:szCs w:val="24"/>
        </w:rPr>
      </w:pPr>
      <w:r w:rsidRPr="00981D8C">
        <w:rPr>
          <w:b/>
          <w:bCs/>
          <w:sz w:val="24"/>
          <w:szCs w:val="24"/>
        </w:rPr>
        <w:t>Effekt af behandlingen</w:t>
      </w:r>
    </w:p>
    <w:p w14:paraId="54CD35C8" w14:textId="77777777" w:rsidR="003857F1" w:rsidRDefault="003857F1" w:rsidP="003857F1">
      <w:pPr>
        <w:jc w:val="both"/>
        <w:rPr>
          <w:bCs/>
          <w:sz w:val="24"/>
          <w:szCs w:val="24"/>
        </w:rPr>
      </w:pPr>
      <w:r w:rsidRPr="00B548EA">
        <w:rPr>
          <w:bCs/>
          <w:sz w:val="24"/>
          <w:szCs w:val="24"/>
        </w:rPr>
        <w:t xml:space="preserve">Det kan forventes, at fine, kreppede rynker </w:t>
      </w:r>
      <w:r>
        <w:rPr>
          <w:bCs/>
          <w:sz w:val="24"/>
          <w:szCs w:val="24"/>
        </w:rPr>
        <w:t>kan af</w:t>
      </w:r>
      <w:r w:rsidRPr="00B548EA">
        <w:rPr>
          <w:bCs/>
          <w:sz w:val="24"/>
          <w:szCs w:val="24"/>
        </w:rPr>
        <w:t xml:space="preserve">glattes. </w:t>
      </w:r>
      <w:r>
        <w:rPr>
          <w:bCs/>
          <w:sz w:val="24"/>
          <w:szCs w:val="24"/>
        </w:rPr>
        <w:t xml:space="preserve">Ved </w:t>
      </w:r>
      <w:proofErr w:type="spellStart"/>
      <w:r>
        <w:rPr>
          <w:bCs/>
          <w:sz w:val="24"/>
          <w:szCs w:val="24"/>
        </w:rPr>
        <w:t>aknear</w:t>
      </w:r>
      <w:proofErr w:type="spellEnd"/>
      <w:r>
        <w:rPr>
          <w:bCs/>
          <w:sz w:val="24"/>
          <w:szCs w:val="24"/>
        </w:rPr>
        <w:t xml:space="preserve"> og </w:t>
      </w:r>
      <w:proofErr w:type="spellStart"/>
      <w:r>
        <w:rPr>
          <w:bCs/>
          <w:sz w:val="24"/>
          <w:szCs w:val="24"/>
        </w:rPr>
        <w:t>brandsårsar</w:t>
      </w:r>
      <w:proofErr w:type="spellEnd"/>
      <w:r>
        <w:rPr>
          <w:bCs/>
          <w:sz w:val="24"/>
          <w:szCs w:val="24"/>
        </w:rPr>
        <w:t xml:space="preserve"> kan forandringerne afglattes.</w:t>
      </w:r>
      <w:r>
        <w:rPr>
          <w:rFonts w:ascii="Open Sans" w:hAnsi="Open Sans" w:cs="Segoe UI"/>
          <w:color w:val="212529"/>
          <w:spacing w:val="3"/>
          <w:sz w:val="21"/>
          <w:szCs w:val="21"/>
        </w:rPr>
        <w:t xml:space="preserve"> </w:t>
      </w:r>
      <w:r w:rsidRPr="00B548EA">
        <w:rPr>
          <w:bCs/>
          <w:sz w:val="24"/>
          <w:szCs w:val="24"/>
        </w:rPr>
        <w:t>Det er forskelligt fra person til person, hvor mange behandlinger der skal til, før dette resultat opnås</w:t>
      </w:r>
      <w:r>
        <w:rPr>
          <w:bCs/>
          <w:sz w:val="24"/>
          <w:szCs w:val="24"/>
        </w:rPr>
        <w:t xml:space="preserve">. </w:t>
      </w:r>
      <w:r w:rsidRPr="00B548EA">
        <w:rPr>
          <w:bCs/>
          <w:sz w:val="24"/>
          <w:szCs w:val="24"/>
        </w:rPr>
        <w:t>Genere</w:t>
      </w:r>
      <w:r>
        <w:rPr>
          <w:bCs/>
          <w:sz w:val="24"/>
          <w:szCs w:val="24"/>
        </w:rPr>
        <w:t>lt afhænger r</w:t>
      </w:r>
      <w:r w:rsidRPr="00B548EA">
        <w:rPr>
          <w:bCs/>
          <w:sz w:val="24"/>
          <w:szCs w:val="24"/>
        </w:rPr>
        <w:t>esultatet af udgangspunktet før behandlingen, af den enkelte persons hudtype og hudens evne til at danne kollagen, af hvor kraftig en behandling der foretages, samt om patienten følger de angivne retningslinjer nøje i efterforløbet. </w:t>
      </w:r>
    </w:p>
    <w:p w14:paraId="5F951E95" w14:textId="77777777" w:rsidR="003857F1" w:rsidRDefault="003857F1" w:rsidP="003857F1">
      <w:pPr>
        <w:jc w:val="both"/>
        <w:rPr>
          <w:b/>
          <w:color w:val="423A3A"/>
          <w:sz w:val="24"/>
          <w:szCs w:val="24"/>
        </w:rPr>
      </w:pPr>
    </w:p>
    <w:p w14:paraId="76C32DAA" w14:textId="77777777" w:rsidR="003857F1" w:rsidRPr="00CC24BF" w:rsidRDefault="003857F1" w:rsidP="003857F1">
      <w:pPr>
        <w:jc w:val="both"/>
        <w:rPr>
          <w:b/>
          <w:color w:val="423A3A"/>
          <w:sz w:val="24"/>
          <w:szCs w:val="24"/>
        </w:rPr>
      </w:pPr>
      <w:r w:rsidRPr="00CC24BF">
        <w:rPr>
          <w:b/>
          <w:color w:val="423A3A"/>
          <w:sz w:val="24"/>
          <w:szCs w:val="24"/>
        </w:rPr>
        <w:t>Information og samtykke</w:t>
      </w:r>
    </w:p>
    <w:p w14:paraId="38BBD668" w14:textId="77777777" w:rsidR="003857F1" w:rsidRPr="00CC24BF" w:rsidRDefault="003857F1" w:rsidP="003857F1">
      <w:pPr>
        <w:jc w:val="both"/>
        <w:rPr>
          <w:color w:val="423A3A"/>
          <w:sz w:val="24"/>
          <w:szCs w:val="24"/>
        </w:rPr>
      </w:pPr>
      <w:r w:rsidRPr="00CC24BF">
        <w:rPr>
          <w:color w:val="423A3A"/>
          <w:sz w:val="24"/>
          <w:szCs w:val="24"/>
        </w:rPr>
        <w:t xml:space="preserve">Før du kan modtage en kosmetisk behandling, skal du afgive et mundtligt samtykke til behandlingen.  </w:t>
      </w:r>
    </w:p>
    <w:p w14:paraId="191D332B" w14:textId="4EB3F6C4" w:rsidR="003857F1" w:rsidRDefault="003857F1" w:rsidP="003857F1">
      <w:pPr>
        <w:jc w:val="both"/>
        <w:rPr>
          <w:color w:val="423A3A"/>
          <w:sz w:val="24"/>
          <w:szCs w:val="24"/>
        </w:rPr>
      </w:pPr>
      <w:r w:rsidRPr="00CC24BF">
        <w:rPr>
          <w:color w:val="423A3A"/>
          <w:sz w:val="24"/>
          <w:szCs w:val="24"/>
        </w:rPr>
        <w:t xml:space="preserve">Det forudsætter, at du forinden har modtaget såvel skriftlig som mundtlig information om behandlingen. Når det drejer sig om behandling med </w:t>
      </w:r>
      <w:r>
        <w:rPr>
          <w:color w:val="423A3A"/>
          <w:sz w:val="24"/>
          <w:szCs w:val="24"/>
        </w:rPr>
        <w:t>NAFL</w:t>
      </w:r>
      <w:r w:rsidRPr="00CC24BF">
        <w:rPr>
          <w:color w:val="423A3A"/>
          <w:sz w:val="24"/>
          <w:szCs w:val="24"/>
        </w:rPr>
        <w:t xml:space="preserve"> kan du afgive samtykke</w:t>
      </w:r>
      <w:r>
        <w:rPr>
          <w:color w:val="423A3A"/>
          <w:sz w:val="24"/>
          <w:szCs w:val="24"/>
        </w:rPr>
        <w:t xml:space="preserve"> og blive behandlet umiddelbart efter mundtlig og skriftlig information. </w:t>
      </w:r>
    </w:p>
    <w:p w14:paraId="690EA32E" w14:textId="77777777" w:rsidR="00EF53A7" w:rsidRPr="00CC24BF" w:rsidRDefault="00EF53A7" w:rsidP="003857F1">
      <w:pPr>
        <w:jc w:val="both"/>
        <w:rPr>
          <w:color w:val="423A3A"/>
          <w:sz w:val="24"/>
          <w:szCs w:val="24"/>
        </w:rPr>
      </w:pPr>
    </w:p>
    <w:p w14:paraId="1040B4DE" w14:textId="77777777" w:rsidR="003857F1" w:rsidRPr="00CC24BF" w:rsidRDefault="003857F1" w:rsidP="003857F1">
      <w:pPr>
        <w:jc w:val="both"/>
        <w:rPr>
          <w:color w:val="423A3A"/>
          <w:sz w:val="24"/>
          <w:szCs w:val="24"/>
        </w:rPr>
      </w:pPr>
    </w:p>
    <w:p w14:paraId="1D675DA0" w14:textId="77777777" w:rsidR="003857F1" w:rsidRPr="00E02458" w:rsidRDefault="003857F1" w:rsidP="003857F1">
      <w:pPr>
        <w:jc w:val="both"/>
        <w:rPr>
          <w:color w:val="423A3A"/>
          <w:sz w:val="24"/>
          <w:szCs w:val="24"/>
        </w:rPr>
      </w:pPr>
      <w:r w:rsidRPr="00CC24BF">
        <w:rPr>
          <w:color w:val="423A3A"/>
          <w:sz w:val="24"/>
          <w:szCs w:val="24"/>
        </w:rPr>
        <w:t>Da det for nogle kan være rart at have en at dele oplevelsen med, er du velkommen til at medbringe en ven, veninde eller ægtefælle (bisidder) ved konsultationen.</w:t>
      </w:r>
    </w:p>
    <w:p w14:paraId="217F86B6" w14:textId="77777777" w:rsidR="003857F1" w:rsidRPr="001C0127" w:rsidRDefault="003857F1" w:rsidP="003857F1">
      <w:pPr>
        <w:jc w:val="both"/>
        <w:rPr>
          <w:sz w:val="24"/>
          <w:szCs w:val="24"/>
        </w:rPr>
      </w:pPr>
    </w:p>
    <w:p w14:paraId="619C7540" w14:textId="322BC064" w:rsidR="00B20AB4" w:rsidRDefault="00B20AB4"/>
    <w:p w14:paraId="5380790F" w14:textId="02B1038A" w:rsidR="00C50723" w:rsidRPr="00C50723" w:rsidRDefault="00C50723" w:rsidP="00C50723"/>
    <w:p w14:paraId="5BE18113" w14:textId="75219BBB" w:rsidR="00C50723" w:rsidRPr="00C50723" w:rsidRDefault="00C50723" w:rsidP="00C50723"/>
    <w:p w14:paraId="25604002" w14:textId="788455EE" w:rsidR="00C50723" w:rsidRPr="00C50723" w:rsidRDefault="00C50723" w:rsidP="00C50723"/>
    <w:p w14:paraId="07E17710" w14:textId="6FA14DFE" w:rsidR="00C50723" w:rsidRPr="00C50723" w:rsidRDefault="00C50723" w:rsidP="00C50723"/>
    <w:p w14:paraId="1A39F76C" w14:textId="3CD59E4F" w:rsidR="00C50723" w:rsidRPr="00C50723" w:rsidRDefault="00C50723" w:rsidP="00C50723"/>
    <w:p w14:paraId="6A271FC1" w14:textId="79FA0DE5" w:rsidR="00C50723" w:rsidRPr="00C50723" w:rsidRDefault="00C50723" w:rsidP="00C50723"/>
    <w:p w14:paraId="08F401C8" w14:textId="13F5053D" w:rsidR="00C50723" w:rsidRPr="00C50723" w:rsidRDefault="00C50723" w:rsidP="00C50723"/>
    <w:p w14:paraId="39D6B5C0" w14:textId="7D075040" w:rsidR="00C50723" w:rsidRPr="00C50723" w:rsidRDefault="00C50723" w:rsidP="00C50723"/>
    <w:p w14:paraId="1C9EAEB9" w14:textId="0EA1B245" w:rsidR="00C50723" w:rsidRPr="00C50723" w:rsidRDefault="00C50723" w:rsidP="00C50723"/>
    <w:p w14:paraId="6C40CA58" w14:textId="0C9F848A" w:rsidR="00C50723" w:rsidRPr="00C50723" w:rsidRDefault="00C50723" w:rsidP="00C50723"/>
    <w:p w14:paraId="5EAC4B44" w14:textId="12D06532" w:rsidR="00C50723" w:rsidRPr="00C50723" w:rsidRDefault="00C50723" w:rsidP="00C50723"/>
    <w:p w14:paraId="5FC6DB72" w14:textId="6ADD8BAA" w:rsidR="00C50723" w:rsidRPr="00C50723" w:rsidRDefault="00C50723" w:rsidP="00C50723"/>
    <w:p w14:paraId="5043DE23" w14:textId="56ADB569" w:rsidR="00C50723" w:rsidRPr="00C50723" w:rsidRDefault="00C50723" w:rsidP="00C50723"/>
    <w:p w14:paraId="61156F09" w14:textId="0E5189B5" w:rsidR="00C50723" w:rsidRDefault="00C50723" w:rsidP="00C50723"/>
    <w:p w14:paraId="691CABA2" w14:textId="0BF15F9D" w:rsidR="00C50723" w:rsidRPr="00C50723" w:rsidRDefault="00C50723" w:rsidP="00C50723">
      <w:pPr>
        <w:tabs>
          <w:tab w:val="left" w:pos="6585"/>
        </w:tabs>
      </w:pPr>
      <w:r>
        <w:tab/>
      </w:r>
    </w:p>
    <w:sectPr w:rsidR="00C50723" w:rsidRPr="00C50723" w:rsidSect="00E749D4">
      <w:headerReference w:type="default" r:id="rId6"/>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EDDF" w14:textId="77777777" w:rsidR="00A242E8" w:rsidRDefault="00A242E8">
      <w:r>
        <w:separator/>
      </w:r>
    </w:p>
  </w:endnote>
  <w:endnote w:type="continuationSeparator" w:id="0">
    <w:p w14:paraId="73C91E8D" w14:textId="77777777" w:rsidR="00A242E8" w:rsidRDefault="00A2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8102" w14:textId="77777777" w:rsidR="00A242E8" w:rsidRDefault="00A242E8">
      <w:r>
        <w:separator/>
      </w:r>
    </w:p>
  </w:footnote>
  <w:footnote w:type="continuationSeparator" w:id="0">
    <w:p w14:paraId="2EE18F86" w14:textId="77777777" w:rsidR="00A242E8" w:rsidRDefault="00A24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3834" w14:textId="5F2FF8DE" w:rsidR="00161029" w:rsidRDefault="008809BE" w:rsidP="00F31B98">
    <w:pPr>
      <w:pStyle w:val="Sidehoved"/>
    </w:pPr>
    <w:r>
      <w:rPr>
        <w:noProof/>
      </w:rPr>
      <w:drawing>
        <wp:inline distT="0" distB="0" distL="0" distR="0" wp14:anchorId="37EDEADD" wp14:editId="3D58001E">
          <wp:extent cx="857250" cy="771525"/>
          <wp:effectExtent l="0" t="0" r="0" b="9525"/>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771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F1"/>
    <w:rsid w:val="003857F1"/>
    <w:rsid w:val="00406C1C"/>
    <w:rsid w:val="008809BE"/>
    <w:rsid w:val="00A242E8"/>
    <w:rsid w:val="00B20AB4"/>
    <w:rsid w:val="00C50723"/>
    <w:rsid w:val="00DE79B1"/>
    <w:rsid w:val="00EF53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5503A"/>
  <w15:chartTrackingRefBased/>
  <w15:docId w15:val="{CDA734C4-91B7-4EAC-AD88-125B9C38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7F1"/>
    <w:pPr>
      <w:spacing w:after="0" w:line="240" w:lineRule="auto"/>
    </w:pPr>
    <w:rPr>
      <w:rFonts w:ascii="Times New Roman" w:eastAsia="Times New Roman" w:hAnsi="Times New Roman" w:cs="Times New Roman"/>
      <w:sz w:val="20"/>
      <w:szCs w:val="20"/>
      <w:lang w:eastAsia="da-DK"/>
    </w:rPr>
  </w:style>
  <w:style w:type="paragraph" w:styleId="Overskrift2">
    <w:name w:val="heading 2"/>
    <w:basedOn w:val="Normal"/>
    <w:next w:val="Normal"/>
    <w:link w:val="Overskrift2Tegn"/>
    <w:qFormat/>
    <w:rsid w:val="003857F1"/>
    <w:pPr>
      <w:keepNext/>
      <w:outlineLvl w:val="1"/>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3857F1"/>
    <w:rPr>
      <w:rFonts w:ascii="Times New Roman" w:eastAsia="Times New Roman" w:hAnsi="Times New Roman" w:cs="Times New Roman"/>
      <w:sz w:val="24"/>
      <w:szCs w:val="20"/>
      <w:lang w:eastAsia="da-DK"/>
    </w:rPr>
  </w:style>
  <w:style w:type="paragraph" w:styleId="Sidehoved">
    <w:name w:val="header"/>
    <w:basedOn w:val="Normal"/>
    <w:link w:val="SidehovedTegn"/>
    <w:rsid w:val="003857F1"/>
    <w:pPr>
      <w:tabs>
        <w:tab w:val="center" w:pos="4819"/>
        <w:tab w:val="right" w:pos="9638"/>
      </w:tabs>
    </w:pPr>
  </w:style>
  <w:style w:type="character" w:customStyle="1" w:styleId="SidehovedTegn">
    <w:name w:val="Sidehoved Tegn"/>
    <w:basedOn w:val="Standardskrifttypeiafsnit"/>
    <w:link w:val="Sidehoved"/>
    <w:rsid w:val="003857F1"/>
    <w:rPr>
      <w:rFonts w:ascii="Times New Roman" w:eastAsia="Times New Roman" w:hAnsi="Times New Roman" w:cs="Times New Roman"/>
      <w:sz w:val="20"/>
      <w:szCs w:val="20"/>
      <w:lang w:eastAsia="da-DK"/>
    </w:rPr>
  </w:style>
  <w:style w:type="paragraph" w:styleId="Sidefod">
    <w:name w:val="footer"/>
    <w:basedOn w:val="Normal"/>
    <w:link w:val="SidefodTegn"/>
    <w:uiPriority w:val="99"/>
    <w:unhideWhenUsed/>
    <w:rsid w:val="008809BE"/>
    <w:pPr>
      <w:tabs>
        <w:tab w:val="center" w:pos="4819"/>
        <w:tab w:val="right" w:pos="9638"/>
      </w:tabs>
    </w:pPr>
  </w:style>
  <w:style w:type="character" w:customStyle="1" w:styleId="SidefodTegn">
    <w:name w:val="Sidefod Tegn"/>
    <w:basedOn w:val="Standardskrifttypeiafsnit"/>
    <w:link w:val="Sidefod"/>
    <w:uiPriority w:val="99"/>
    <w:rsid w:val="008809BE"/>
    <w:rPr>
      <w:rFonts w:ascii="Times New Roman" w:eastAsia="Times New Roman" w:hAnsi="Times New Roman"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2524</Characters>
  <Application>Microsoft Office Word</Application>
  <DocSecurity>0</DocSecurity>
  <Lines>21</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torp madsen</dc:creator>
  <cp:keywords/>
  <dc:description/>
  <cp:lastModifiedBy>jakob torp madsen</cp:lastModifiedBy>
  <cp:revision>6</cp:revision>
  <dcterms:created xsi:type="dcterms:W3CDTF">2023-01-30T09:46:00Z</dcterms:created>
  <dcterms:modified xsi:type="dcterms:W3CDTF">2023-02-01T07:02:00Z</dcterms:modified>
</cp:coreProperties>
</file>