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456C4" w14:textId="13C190BF" w:rsidR="00AC3D01" w:rsidRDefault="00AC3D01" w:rsidP="00780D50">
      <w:pPr>
        <w:shd w:val="clear" w:color="auto" w:fill="FFFFFF"/>
        <w:spacing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222222"/>
          <w:kern w:val="36"/>
          <w:lang w:eastAsia="da-DK"/>
        </w:rPr>
      </w:pPr>
      <w:r>
        <w:rPr>
          <w:rFonts w:ascii="Arial" w:eastAsia="Times New Roman" w:hAnsi="Arial" w:cs="Arial"/>
          <w:bCs/>
          <w:noProof/>
          <w:color w:val="222222"/>
          <w:kern w:val="36"/>
          <w:sz w:val="20"/>
          <w:szCs w:val="20"/>
          <w:lang w:eastAsia="da-DK"/>
        </w:rPr>
        <w:drawing>
          <wp:inline distT="0" distB="0" distL="0" distR="0" wp14:anchorId="03DAA650" wp14:editId="762B0401">
            <wp:extent cx="1250950" cy="938213"/>
            <wp:effectExtent l="0" t="0" r="635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93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EB5D0" w14:textId="3D88CAEF" w:rsidR="00780D50" w:rsidRPr="00AC3D01" w:rsidRDefault="0000075C" w:rsidP="00780D50">
      <w:pPr>
        <w:shd w:val="clear" w:color="auto" w:fill="FFFFFF"/>
        <w:spacing w:after="120" w:line="240" w:lineRule="auto"/>
        <w:jc w:val="right"/>
        <w:outlineLvl w:val="1"/>
        <w:rPr>
          <w:rFonts w:ascii="Arial" w:eastAsia="Times New Roman" w:hAnsi="Arial" w:cs="Arial"/>
          <w:b/>
          <w:bCs/>
          <w:color w:val="222222"/>
          <w:kern w:val="36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DDS-vejledning</w:t>
      </w:r>
      <w:r w:rsidR="00780D50"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 xml:space="preserve"> </w:t>
      </w:r>
      <w:r w:rsidR="00F6638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3/11</w:t>
      </w:r>
      <w:r w:rsidR="00780D50"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-</w:t>
      </w:r>
      <w:r w:rsidR="001E3B8D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2</w:t>
      </w:r>
      <w:r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4</w:t>
      </w:r>
      <w:r w:rsidR="00780D50"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 xml:space="preserve">, version </w:t>
      </w:r>
      <w:r w:rsidR="005266EA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6.0</w:t>
      </w:r>
    </w:p>
    <w:p w14:paraId="7FE1E80A" w14:textId="77777777" w:rsidR="008B1753" w:rsidRPr="00AC3D01" w:rsidRDefault="008B1753" w:rsidP="00DE5C08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b/>
          <w:bCs/>
          <w:color w:val="222222"/>
          <w:kern w:val="36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Methotrexat</w:t>
      </w:r>
    </w:p>
    <w:p w14:paraId="188FD506" w14:textId="77777777" w:rsidR="008B1753" w:rsidRPr="00AC3D01" w:rsidRDefault="008B1753" w:rsidP="00DE5C08">
      <w:pPr>
        <w:shd w:val="clear" w:color="auto" w:fill="FFFFFF"/>
        <w:spacing w:before="240" w:after="120" w:line="240" w:lineRule="auto"/>
        <w:outlineLvl w:val="2"/>
        <w:rPr>
          <w:rFonts w:ascii="Arial" w:eastAsia="Times New Roman" w:hAnsi="Arial" w:cs="Arial"/>
          <w:b/>
          <w:bCs/>
          <w:color w:val="222222"/>
          <w:lang w:eastAsia="da-DK"/>
        </w:rPr>
      </w:pPr>
      <w:bookmarkStart w:id="0" w:name="1515873600065Top"/>
      <w:bookmarkStart w:id="1" w:name="1515873600065Maalgrupper"/>
      <w:bookmarkEnd w:id="0"/>
      <w:bookmarkEnd w:id="1"/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br/>
        <w:t xml:space="preserve">Målgrupper </w:t>
      </w:r>
    </w:p>
    <w:p w14:paraId="60EC17BA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Speciallæger i dermatologi og læger på dermatologiske afdelinger.</w:t>
      </w:r>
    </w:p>
    <w:p w14:paraId="5C571E86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bookmarkStart w:id="2" w:name="1515873600065Definitioner"/>
      <w:bookmarkEnd w:id="2"/>
    </w:p>
    <w:p w14:paraId="153AE05C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Beskrivelse:</w:t>
      </w:r>
    </w:p>
    <w:p w14:paraId="0EBDEF8F" w14:textId="34C5937F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Tabl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. </w:t>
      </w:r>
      <w:r w:rsidR="00FC6870" w:rsidRPr="00AC3D01">
        <w:rPr>
          <w:rFonts w:ascii="Arial" w:eastAsia="Times New Roman" w:hAnsi="Arial" w:cs="Arial"/>
          <w:color w:val="222222"/>
          <w:lang w:eastAsia="da-DK"/>
        </w:rPr>
        <w:t>m</w:t>
      </w:r>
      <w:r w:rsidRPr="00AC3D01">
        <w:rPr>
          <w:rFonts w:ascii="Arial" w:eastAsia="Times New Roman" w:hAnsi="Arial" w:cs="Arial"/>
          <w:color w:val="222222"/>
          <w:lang w:eastAsia="da-DK"/>
        </w:rPr>
        <w:t>ethotrexat 2,5 mg, 30 og 100 stk.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 xml:space="preserve">Injektionsvæske (pen eller sprøjte), opløsning indeholdende 7,5 mg, 10 mg, 12,5 mg, 15 mg, 17,5 mg, 20 mg, 22,5 mg eller 25 mg </w:t>
      </w:r>
      <w:r w:rsidR="00FC6870" w:rsidRPr="00AC3D01">
        <w:rPr>
          <w:rFonts w:ascii="Arial" w:eastAsia="Times New Roman" w:hAnsi="Arial" w:cs="Arial"/>
          <w:color w:val="222222"/>
          <w:lang w:eastAsia="da-DK"/>
        </w:rPr>
        <w:t>m</w:t>
      </w:r>
      <w:r w:rsidRPr="00AC3D01">
        <w:rPr>
          <w:rFonts w:ascii="Arial" w:eastAsia="Times New Roman" w:hAnsi="Arial" w:cs="Arial"/>
          <w:color w:val="222222"/>
          <w:lang w:eastAsia="da-DK"/>
        </w:rPr>
        <w:t>ethotrexat.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</w:r>
    </w:p>
    <w:p w14:paraId="279BF507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Indikationer:</w:t>
      </w:r>
    </w:p>
    <w:p w14:paraId="2513CA3D" w14:textId="31718F4D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Moderat til svær psoriasis</w:t>
      </w:r>
      <w:r w:rsidR="00216958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atopisk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eksem</w:t>
      </w:r>
      <w:r w:rsidR="00666935">
        <w:rPr>
          <w:rFonts w:ascii="Arial" w:eastAsia="Times New Roman" w:hAnsi="Arial" w:cs="Arial"/>
          <w:color w:val="222222"/>
          <w:lang w:eastAsia="da-DK"/>
        </w:rPr>
        <w:t xml:space="preserve"> og andre typer eksem</w:t>
      </w:r>
      <w:r w:rsidRPr="00AC3D01">
        <w:rPr>
          <w:rFonts w:ascii="Arial" w:eastAsia="Times New Roman" w:hAnsi="Arial" w:cs="Arial"/>
          <w:color w:val="222222"/>
          <w:lang w:eastAsia="da-DK"/>
        </w:rPr>
        <w:t>, som ikke kan kontrolleres med lokalbehandling.</w:t>
      </w:r>
      <w:r w:rsidR="005266EA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Inflammatoriske </w:t>
      </w:r>
      <w:r w:rsidR="00444647">
        <w:rPr>
          <w:rFonts w:ascii="Arial" w:eastAsia="Times New Roman" w:hAnsi="Arial" w:cs="Arial"/>
          <w:color w:val="222222"/>
          <w:lang w:eastAsia="da-DK"/>
        </w:rPr>
        <w:t xml:space="preserve">og </w:t>
      </w:r>
      <w:proofErr w:type="spellStart"/>
      <w:r w:rsidR="00444647">
        <w:rPr>
          <w:rFonts w:ascii="Arial" w:eastAsia="Times New Roman" w:hAnsi="Arial" w:cs="Arial"/>
          <w:color w:val="222222"/>
          <w:lang w:eastAsia="da-DK"/>
        </w:rPr>
        <w:t>bulløse</w:t>
      </w:r>
      <w:proofErr w:type="spellEnd"/>
      <w:r w:rsidR="00444647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>lidelser.</w:t>
      </w:r>
    </w:p>
    <w:p w14:paraId="03423E96" w14:textId="77777777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1F67AB5A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Dosering:</w:t>
      </w:r>
    </w:p>
    <w:p w14:paraId="672571A3" w14:textId="03957205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5-25 mg som ugentlig éngangsdosis til effekt</w:t>
      </w:r>
      <w:r w:rsidR="00780D50" w:rsidRPr="00AC3D01">
        <w:rPr>
          <w:rFonts w:ascii="Arial" w:eastAsia="Times New Roman" w:hAnsi="Arial" w:cs="Arial"/>
          <w:color w:val="222222"/>
          <w:lang w:eastAsia="da-DK"/>
        </w:rPr>
        <w:t>, typisk startdosis er 15 mg x 1 ugentlig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. Herefter reduceres dosis til laveste vedligeholdelsesdosis. Dosis kan </w:t>
      </w:r>
      <w:r w:rsidR="00780D50" w:rsidRPr="00AC3D01">
        <w:rPr>
          <w:rFonts w:ascii="Arial" w:eastAsia="Times New Roman" w:hAnsi="Arial" w:cs="Arial"/>
          <w:color w:val="222222"/>
          <w:lang w:eastAsia="da-DK"/>
        </w:rPr>
        <w:t xml:space="preserve">evt. </w:t>
      </w:r>
      <w:r w:rsidRPr="00AC3D01">
        <w:rPr>
          <w:rFonts w:ascii="Arial" w:eastAsia="Times New Roman" w:hAnsi="Arial" w:cs="Arial"/>
          <w:color w:val="222222"/>
          <w:lang w:eastAsia="da-DK"/>
        </w:rPr>
        <w:t>deles i to over 24 timer for at mindske bivirkningerne og bedre optagelse</w:t>
      </w:r>
      <w:r w:rsidR="00B84076" w:rsidRPr="00AC3D01">
        <w:rPr>
          <w:rFonts w:ascii="Arial" w:eastAsia="Times New Roman" w:hAnsi="Arial" w:cs="Arial"/>
          <w:color w:val="222222"/>
          <w:lang w:eastAsia="da-DK"/>
        </w:rPr>
        <w:t>n</w:t>
      </w:r>
      <w:r w:rsidRPr="00AC3D01">
        <w:rPr>
          <w:rFonts w:ascii="Arial" w:eastAsia="Times New Roman" w:hAnsi="Arial" w:cs="Arial"/>
          <w:color w:val="222222"/>
          <w:lang w:eastAsia="da-DK"/>
        </w:rPr>
        <w:t>. Alternativ kan vælges subkutan administration</w:t>
      </w:r>
      <w:r w:rsidR="00B84076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hvor specielt de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gastrointestinale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bivirkninger ofte er mindre.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 xml:space="preserve">For at mindske bivirkninger </w:t>
      </w:r>
      <w:r w:rsidR="00F03355">
        <w:rPr>
          <w:rFonts w:ascii="Arial" w:eastAsia="Times New Roman" w:hAnsi="Arial" w:cs="Arial"/>
          <w:color w:val="222222"/>
          <w:lang w:eastAsia="da-DK"/>
        </w:rPr>
        <w:t>bør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der gives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tabl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. </w:t>
      </w:r>
      <w:proofErr w:type="spellStart"/>
      <w:r w:rsidR="00FC6870" w:rsidRPr="00AC3D01">
        <w:rPr>
          <w:rFonts w:ascii="Arial" w:eastAsia="Times New Roman" w:hAnsi="Arial" w:cs="Arial"/>
          <w:color w:val="222222"/>
          <w:lang w:eastAsia="da-DK"/>
        </w:rPr>
        <w:t>f</w:t>
      </w:r>
      <w:r w:rsidRPr="00AC3D01">
        <w:rPr>
          <w:rFonts w:ascii="Arial" w:eastAsia="Times New Roman" w:hAnsi="Arial" w:cs="Arial"/>
          <w:color w:val="222222"/>
          <w:lang w:eastAsia="da-DK"/>
        </w:rPr>
        <w:t>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5 mg x 1 ugentlig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 xml:space="preserve">. </w:t>
      </w:r>
      <w:proofErr w:type="spellStart"/>
      <w:r w:rsidR="004007C3"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administreres ikke den samme dag,</w:t>
      </w:r>
      <w:r w:rsidR="00FC6870" w:rsidRPr="00AC3D01">
        <w:rPr>
          <w:rFonts w:ascii="Arial" w:eastAsia="Times New Roman" w:hAnsi="Arial" w:cs="Arial"/>
          <w:color w:val="222222"/>
          <w:lang w:eastAsia="da-DK"/>
        </w:rPr>
        <w:t xml:space="preserve"> der er givet m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ethotrexat</w:t>
      </w:r>
      <w:r w:rsidR="00F03355">
        <w:rPr>
          <w:rFonts w:ascii="Arial" w:eastAsia="Times New Roman" w:hAnsi="Arial" w:cs="Arial"/>
          <w:color w:val="222222"/>
          <w:lang w:eastAsia="da-DK"/>
        </w:rPr>
        <w:t>, men typisk 1-2 dage efter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. Evt. kan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tabl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. </w:t>
      </w:r>
      <w:proofErr w:type="spellStart"/>
      <w:r w:rsidR="00FC6870" w:rsidRPr="00AC3D01">
        <w:rPr>
          <w:rFonts w:ascii="Arial" w:eastAsia="Times New Roman" w:hAnsi="Arial" w:cs="Arial"/>
          <w:color w:val="222222"/>
          <w:lang w:eastAsia="da-DK"/>
        </w:rPr>
        <w:t>f</w:t>
      </w:r>
      <w:r w:rsidRPr="00AC3D01">
        <w:rPr>
          <w:rFonts w:ascii="Arial" w:eastAsia="Times New Roman" w:hAnsi="Arial" w:cs="Arial"/>
          <w:color w:val="222222"/>
          <w:lang w:eastAsia="da-DK"/>
        </w:rPr>
        <w:t>olinsyre</w:t>
      </w:r>
      <w:proofErr w:type="spellEnd"/>
      <w:r w:rsidR="004007C3" w:rsidRPr="00AC3D01">
        <w:rPr>
          <w:rFonts w:ascii="Arial" w:eastAsia="Times New Roman" w:hAnsi="Arial" w:cs="Arial"/>
          <w:color w:val="222222"/>
          <w:lang w:eastAsia="da-DK"/>
        </w:rPr>
        <w:t xml:space="preserve"> øges til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5 mg x 2 ugentligt.</w:t>
      </w:r>
      <w:r w:rsidR="0045294A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00075C">
        <w:rPr>
          <w:rFonts w:ascii="Arial" w:eastAsia="Times New Roman" w:hAnsi="Arial" w:cs="Arial"/>
          <w:color w:val="222222"/>
          <w:lang w:eastAsia="da-DK"/>
        </w:rPr>
        <w:t xml:space="preserve">Der er klausuleret tilskud til </w:t>
      </w:r>
      <w:proofErr w:type="spellStart"/>
      <w:r w:rsidR="0045294A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="0045294A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00075C">
        <w:rPr>
          <w:rFonts w:ascii="Arial" w:eastAsia="Times New Roman" w:hAnsi="Arial" w:cs="Arial"/>
          <w:color w:val="222222"/>
          <w:lang w:eastAsia="da-DK"/>
        </w:rPr>
        <w:t>via</w:t>
      </w:r>
      <w:r w:rsidR="0045294A">
        <w:rPr>
          <w:rFonts w:ascii="Arial" w:eastAsia="Times New Roman" w:hAnsi="Arial" w:cs="Arial"/>
          <w:color w:val="222222"/>
          <w:lang w:eastAsia="da-DK"/>
        </w:rPr>
        <w:t xml:space="preserve"> Lægemiddelstyrelsen. </w:t>
      </w:r>
    </w:p>
    <w:p w14:paraId="2285782C" w14:textId="4858ABA8" w:rsidR="00780D50" w:rsidRDefault="00780D50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Børn startes med </w:t>
      </w:r>
      <w:r w:rsidR="000E7549">
        <w:rPr>
          <w:rFonts w:ascii="Arial" w:eastAsia="Times New Roman" w:hAnsi="Arial" w:cs="Arial"/>
          <w:color w:val="222222"/>
          <w:lang w:eastAsia="da-DK"/>
        </w:rPr>
        <w:t xml:space="preserve">methotrexat </w:t>
      </w:r>
      <w:r w:rsidRPr="00AC3D01">
        <w:rPr>
          <w:rFonts w:ascii="Arial" w:eastAsia="Times New Roman" w:hAnsi="Arial" w:cs="Arial"/>
          <w:color w:val="222222"/>
          <w:lang w:eastAsia="da-DK"/>
        </w:rPr>
        <w:t>(0,2)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>-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>0,4 mg/kg x 1 ugentlig</w:t>
      </w:r>
      <w:r w:rsidR="00D45C2D">
        <w:rPr>
          <w:rFonts w:ascii="Arial" w:eastAsia="Times New Roman" w:hAnsi="Arial" w:cs="Arial"/>
          <w:color w:val="222222"/>
          <w:lang w:eastAsia="da-DK"/>
        </w:rPr>
        <w:t>, dog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max 25 mg</w:t>
      </w:r>
      <w:r w:rsidR="0045294A">
        <w:rPr>
          <w:rFonts w:ascii="Arial" w:eastAsia="Times New Roman" w:hAnsi="Arial" w:cs="Arial"/>
          <w:color w:val="222222"/>
          <w:lang w:eastAsia="da-DK"/>
        </w:rPr>
        <w:t xml:space="preserve"> x 1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ugentligt</w:t>
      </w:r>
      <w:r w:rsidRPr="00AC3D01">
        <w:rPr>
          <w:rFonts w:ascii="Arial" w:eastAsia="Times New Roman" w:hAnsi="Arial" w:cs="Arial"/>
          <w:color w:val="222222"/>
          <w:lang w:eastAsia="da-DK"/>
        </w:rPr>
        <w:t>.</w:t>
      </w:r>
    </w:p>
    <w:p w14:paraId="2DD87CD3" w14:textId="49662D03" w:rsidR="00E76EE8" w:rsidRDefault="009A4364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>
        <w:rPr>
          <w:rFonts w:ascii="Arial" w:eastAsia="Times New Roman" w:hAnsi="Arial" w:cs="Arial"/>
          <w:color w:val="222222"/>
          <w:lang w:eastAsia="da-DK"/>
        </w:rPr>
        <w:t>L</w:t>
      </w:r>
      <w:r w:rsidR="00C02C05">
        <w:rPr>
          <w:rFonts w:ascii="Arial" w:eastAsia="Times New Roman" w:hAnsi="Arial" w:cs="Arial"/>
          <w:color w:val="222222"/>
          <w:lang w:eastAsia="da-DK"/>
        </w:rPr>
        <w:t>a</w:t>
      </w:r>
      <w:r>
        <w:rPr>
          <w:rFonts w:ascii="Arial" w:eastAsia="Times New Roman" w:hAnsi="Arial" w:cs="Arial"/>
          <w:color w:val="222222"/>
          <w:lang w:eastAsia="da-DK"/>
        </w:rPr>
        <w:t xml:space="preserve">vdosis methotrexat er et risikosituationslægemiddel, hvorfor særlig omhu bør udvises ved ordination og administration af methotrexat. </w:t>
      </w:r>
    </w:p>
    <w:p w14:paraId="755FF06B" w14:textId="291F7A7C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7C97412A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Virkning:</w:t>
      </w:r>
    </w:p>
    <w:p w14:paraId="51ABD1AE" w14:textId="7042756C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Methotrexat hindrer omdannelsen af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til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tetrahydrofolinsyre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som er nødvendig for </w:t>
      </w:r>
      <w:proofErr w:type="spellStart"/>
      <w:r w:rsidR="00202EE6">
        <w:rPr>
          <w:rFonts w:ascii="Arial" w:eastAsia="Times New Roman" w:hAnsi="Arial" w:cs="Arial"/>
          <w:color w:val="222222"/>
          <w:lang w:eastAsia="da-DK"/>
        </w:rPr>
        <w:t>purin</w:t>
      </w:r>
      <w:proofErr w:type="spellEnd"/>
      <w:r w:rsidR="00202EE6">
        <w:rPr>
          <w:rFonts w:ascii="Arial" w:eastAsia="Times New Roman" w:hAnsi="Arial" w:cs="Arial"/>
          <w:color w:val="222222"/>
          <w:lang w:eastAsia="da-DK"/>
        </w:rPr>
        <w:t xml:space="preserve"> og </w:t>
      </w:r>
      <w:proofErr w:type="spellStart"/>
      <w:r w:rsidR="00202EE6">
        <w:rPr>
          <w:rFonts w:ascii="Arial" w:eastAsia="Times New Roman" w:hAnsi="Arial" w:cs="Arial"/>
          <w:color w:val="222222"/>
          <w:lang w:eastAsia="da-DK"/>
        </w:rPr>
        <w:t>pyrimidin</w:t>
      </w:r>
      <w:proofErr w:type="spellEnd"/>
      <w:r w:rsidR="00D45C2D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202EE6">
        <w:rPr>
          <w:rFonts w:ascii="Arial" w:eastAsia="Times New Roman" w:hAnsi="Arial" w:cs="Arial"/>
          <w:color w:val="222222"/>
          <w:lang w:eastAsia="da-DK"/>
        </w:rPr>
        <w:t>biosyntesen. Methotrexat h</w:t>
      </w:r>
      <w:r w:rsidRPr="00AC3D01">
        <w:rPr>
          <w:rFonts w:ascii="Arial" w:eastAsia="Times New Roman" w:hAnsi="Arial" w:cs="Arial"/>
          <w:color w:val="222222"/>
          <w:lang w:eastAsia="da-DK"/>
        </w:rPr>
        <w:t>æmmer således DNA</w:t>
      </w:r>
      <w:r w:rsidR="00202EE6">
        <w:rPr>
          <w:rFonts w:ascii="Arial" w:eastAsia="Times New Roman" w:hAnsi="Arial" w:cs="Arial"/>
          <w:color w:val="222222"/>
          <w:lang w:eastAsia="da-DK"/>
        </w:rPr>
        <w:t xml:space="preserve"> syntesen. V</w:t>
      </w:r>
      <w:r w:rsidRPr="00AC3D01">
        <w:rPr>
          <w:rFonts w:ascii="Arial" w:eastAsia="Times New Roman" w:hAnsi="Arial" w:cs="Arial"/>
          <w:color w:val="222222"/>
          <w:lang w:eastAsia="da-DK"/>
        </w:rPr>
        <w:t>irkningen er</w:t>
      </w:r>
      <w:r w:rsidR="00202EE6">
        <w:rPr>
          <w:rFonts w:ascii="Arial" w:eastAsia="Times New Roman" w:hAnsi="Arial" w:cs="Arial"/>
          <w:color w:val="222222"/>
          <w:lang w:eastAsia="da-DK"/>
        </w:rPr>
        <w:t xml:space="preserve"> derfor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mest udtalt på væv med stor turnover</w:t>
      </w:r>
      <w:r w:rsidR="00D45C2D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som hud og ventrikelslimhinde.</w:t>
      </w:r>
    </w:p>
    <w:p w14:paraId="4797EFEE" w14:textId="77777777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2ADC50A2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Bivirkninger:</w:t>
      </w:r>
    </w:p>
    <w:p w14:paraId="7641210F" w14:textId="7E5F3396" w:rsidR="00DE5C08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Myelosuppression</w:t>
      </w:r>
      <w:proofErr w:type="spellEnd"/>
      <w:r w:rsidR="004007C3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="004007C3" w:rsidRPr="00AC3D01">
        <w:rPr>
          <w:rFonts w:ascii="Arial" w:eastAsia="Times New Roman" w:hAnsi="Arial" w:cs="Arial"/>
          <w:color w:val="222222"/>
          <w:lang w:eastAsia="da-DK"/>
        </w:rPr>
        <w:t>m</w:t>
      </w:r>
      <w:r w:rsidRPr="00AC3D01">
        <w:rPr>
          <w:rFonts w:ascii="Arial" w:eastAsia="Times New Roman" w:hAnsi="Arial" w:cs="Arial"/>
          <w:color w:val="222222"/>
          <w:lang w:eastAsia="da-DK"/>
        </w:rPr>
        <w:t>egaloblastær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anæmi (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-mangel)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blødningsanæmi (ulcus)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, l</w:t>
      </w:r>
      <w:r w:rsidRPr="00AC3D01">
        <w:rPr>
          <w:rFonts w:ascii="Arial" w:eastAsia="Times New Roman" w:hAnsi="Arial" w:cs="Arial"/>
          <w:color w:val="222222"/>
          <w:lang w:eastAsia="da-DK"/>
        </w:rPr>
        <w:t>evertoksicitet, stigende til fibrose/cirrose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u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lcerøs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stomatitis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kvalme, opkastning,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diaré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gastro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-/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duodenale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ulcera</w:t>
      </w:r>
      <w:proofErr w:type="spellEnd"/>
      <w:r w:rsidR="004007C3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hovedpine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 xml:space="preserve"> og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l</w:t>
      </w:r>
      <w:r w:rsidRPr="00AC3D01">
        <w:rPr>
          <w:rFonts w:ascii="Arial" w:eastAsia="Times New Roman" w:hAnsi="Arial" w:cs="Arial"/>
          <w:color w:val="222222"/>
          <w:lang w:eastAsia="da-DK"/>
        </w:rPr>
        <w:t>ungeforandringer (pneumonitis, fibrose).</w:t>
      </w:r>
    </w:p>
    <w:p w14:paraId="3B9E360F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Kontraindikationer:</w:t>
      </w:r>
    </w:p>
    <w:p w14:paraId="3F8CAFCC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Absolutte:</w:t>
      </w:r>
    </w:p>
    <w:p w14:paraId="1340F07E" w14:textId="691540CE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lastRenderedPageBreak/>
        <w:t>Graviditet og amning.</w:t>
      </w:r>
      <w:r w:rsidR="002778B0" w:rsidRPr="00AC3D01">
        <w:rPr>
          <w:rFonts w:ascii="Arial" w:eastAsia="Times New Roman" w:hAnsi="Arial" w:cs="Arial"/>
          <w:color w:val="222222"/>
          <w:lang w:eastAsia="da-DK"/>
        </w:rPr>
        <w:t xml:space="preserve"> Der anbefales 3 måneders pause fra </w:t>
      </w:r>
      <w:proofErr w:type="spellStart"/>
      <w:r w:rsidR="002778B0" w:rsidRPr="00AC3D01">
        <w:rPr>
          <w:rFonts w:ascii="Arial" w:eastAsia="Times New Roman" w:hAnsi="Arial" w:cs="Arial"/>
          <w:color w:val="222222"/>
          <w:lang w:eastAsia="da-DK"/>
        </w:rPr>
        <w:t>seponering</w:t>
      </w:r>
      <w:proofErr w:type="spellEnd"/>
      <w:r w:rsidR="002778B0" w:rsidRPr="00AC3D01">
        <w:rPr>
          <w:rFonts w:ascii="Arial" w:eastAsia="Times New Roman" w:hAnsi="Arial" w:cs="Arial"/>
          <w:color w:val="222222"/>
          <w:lang w:eastAsia="da-DK"/>
        </w:rPr>
        <w:t xml:space="preserve"> af methotrexat til graviditet. </w:t>
      </w:r>
    </w:p>
    <w:p w14:paraId="3D56BAE9" w14:textId="77777777" w:rsidR="00780D50" w:rsidRPr="00AC3D01" w:rsidRDefault="00780D50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For mænd foreligger der ikke evidens for påvirkning af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spermatogenesen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og ej</w:t>
      </w:r>
      <w:r w:rsidR="00F22741" w:rsidRPr="00AC3D01">
        <w:rPr>
          <w:rFonts w:ascii="Arial" w:eastAsia="Times New Roman" w:hAnsi="Arial" w:cs="Arial"/>
          <w:color w:val="222222"/>
          <w:lang w:eastAsia="da-DK"/>
        </w:rPr>
        <w:t xml:space="preserve"> heller for </w:t>
      </w:r>
      <w:proofErr w:type="spellStart"/>
      <w:r w:rsidR="00F22741" w:rsidRPr="00AC3D01">
        <w:rPr>
          <w:rFonts w:ascii="Arial" w:eastAsia="Times New Roman" w:hAnsi="Arial" w:cs="Arial"/>
          <w:color w:val="222222"/>
          <w:lang w:eastAsia="da-DK"/>
        </w:rPr>
        <w:t>teratogen</w:t>
      </w:r>
      <w:proofErr w:type="spellEnd"/>
      <w:r w:rsidR="00F22741" w:rsidRPr="00AC3D01">
        <w:rPr>
          <w:rFonts w:ascii="Arial" w:eastAsia="Times New Roman" w:hAnsi="Arial" w:cs="Arial"/>
          <w:color w:val="222222"/>
          <w:lang w:eastAsia="da-DK"/>
        </w:rPr>
        <w:t xml:space="preserve"> effekt. Europæiske guidelines anbefaler dog forsat 3 måneders pause.</w:t>
      </w:r>
    </w:p>
    <w:p w14:paraId="434D4BC5" w14:textId="49929B27" w:rsidR="00780D50" w:rsidRPr="00AC3D01" w:rsidRDefault="00780D50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Levercirrose.</w:t>
      </w:r>
    </w:p>
    <w:p w14:paraId="07609737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Bestående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myelosuppression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> </w:t>
      </w:r>
    </w:p>
    <w:p w14:paraId="1F95D9DF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Relative:</w:t>
      </w:r>
    </w:p>
    <w:p w14:paraId="4AA0B62E" w14:textId="5C74BDBE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Nedsat nyrefunktion (evt. tilpasning af dosis).</w:t>
      </w:r>
      <w:r w:rsidR="00964993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>Ulcussygdom. Påvirkede leverparametre. Kronisk hepatitis. (Tidligere) stort alkoholforbrug. Aktiv kronisk infektion</w:t>
      </w:r>
      <w:r w:rsidR="003C2ABF">
        <w:rPr>
          <w:rFonts w:ascii="Arial" w:eastAsia="Times New Roman" w:hAnsi="Arial" w:cs="Arial"/>
          <w:color w:val="222222"/>
          <w:lang w:eastAsia="da-DK"/>
        </w:rPr>
        <w:t>.</w:t>
      </w:r>
      <w:r w:rsidR="001B20F7">
        <w:rPr>
          <w:rFonts w:ascii="Arial" w:eastAsia="Times New Roman" w:hAnsi="Arial" w:cs="Arial"/>
          <w:color w:val="222222"/>
          <w:lang w:eastAsia="da-DK"/>
        </w:rPr>
        <w:t xml:space="preserve"> P</w:t>
      </w:r>
      <w:r w:rsidRPr="00AC3D01">
        <w:rPr>
          <w:rFonts w:ascii="Arial" w:eastAsia="Times New Roman" w:hAnsi="Arial" w:cs="Arial"/>
          <w:color w:val="222222"/>
          <w:lang w:eastAsia="da-DK"/>
        </w:rPr>
        <w:t>atient</w:t>
      </w:r>
      <w:r w:rsidR="00972045">
        <w:rPr>
          <w:rFonts w:ascii="Arial" w:eastAsia="Times New Roman" w:hAnsi="Arial" w:cs="Arial"/>
          <w:color w:val="222222"/>
          <w:lang w:eastAsia="da-DK"/>
        </w:rPr>
        <w:t>,</w:t>
      </w:r>
      <w:r w:rsidR="001B20F7">
        <w:rPr>
          <w:rFonts w:ascii="Arial" w:eastAsia="Times New Roman" w:hAnsi="Arial" w:cs="Arial"/>
          <w:color w:val="222222"/>
          <w:lang w:eastAsia="da-DK"/>
        </w:rPr>
        <w:t xml:space="preserve"> som har svært ved at medvirke til behandling</w:t>
      </w:r>
      <w:r w:rsidRPr="00AC3D01">
        <w:rPr>
          <w:rFonts w:ascii="Arial" w:eastAsia="Times New Roman" w:hAnsi="Arial" w:cs="Arial"/>
          <w:color w:val="222222"/>
          <w:lang w:eastAsia="da-DK"/>
        </w:rPr>
        <w:t>.</w:t>
      </w:r>
    </w:p>
    <w:p w14:paraId="1279E445" w14:textId="6219CC53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Pt. skal acceptere et alkoholforbrug på maksimalt 7 genstande pr. uge.</w:t>
      </w:r>
    </w:p>
    <w:p w14:paraId="2AA99AA5" w14:textId="3BBB01C9" w:rsidR="00DC6B7B" w:rsidRPr="00964993" w:rsidRDefault="00DC6B7B" w:rsidP="00DC6B7B">
      <w:pPr>
        <w:rPr>
          <w:rFonts w:ascii="Arial" w:hAnsi="Arial" w:cs="Arial"/>
        </w:rPr>
      </w:pPr>
      <w:r w:rsidRPr="00964993">
        <w:rPr>
          <w:rFonts w:ascii="Arial" w:hAnsi="Arial" w:cs="Arial"/>
        </w:rPr>
        <w:t>Generelt må indikationen nøje vurderes ved samtidig svær organsygdom/sy</w:t>
      </w:r>
      <w:r w:rsidR="00964993" w:rsidRPr="00964993">
        <w:rPr>
          <w:rFonts w:ascii="Arial" w:hAnsi="Arial" w:cs="Arial"/>
        </w:rPr>
        <w:t>stemsygdom, hvor potentielle methotrexat</w:t>
      </w:r>
      <w:r w:rsidRPr="00964993">
        <w:rPr>
          <w:rFonts w:ascii="Arial" w:hAnsi="Arial" w:cs="Arial"/>
        </w:rPr>
        <w:t xml:space="preserve"> bivirkninger kan have alvorligere konsekvenser.</w:t>
      </w:r>
    </w:p>
    <w:p w14:paraId="25018E58" w14:textId="5FE80317" w:rsidR="00DC6B7B" w:rsidRPr="00AC3D01" w:rsidRDefault="00DC6B7B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7BDE6B51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Interaktioner:</w:t>
      </w:r>
    </w:p>
    <w:p w14:paraId="1EC7F73E" w14:textId="29A2A0BE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Stoffer der øger methotrexat koncentrationer og toksicitet: Sulfonamider,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fenytoin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salicylsyre-derivater,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indometacin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ketoprofen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phenylbutazon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dipyridamol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kloramfenikol</w:t>
      </w:r>
      <w:proofErr w:type="spellEnd"/>
      <w:r w:rsidR="00D45C2D">
        <w:rPr>
          <w:rFonts w:ascii="Arial" w:eastAsia="Times New Roman" w:hAnsi="Arial" w:cs="Arial"/>
          <w:color w:val="222222"/>
          <w:lang w:eastAsia="da-DK"/>
        </w:rPr>
        <w:t xml:space="preserve"> og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tetracykliner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.</w:t>
      </w:r>
    </w:p>
    <w:p w14:paraId="7864BFE4" w14:textId="5EFD5B7C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Stoffer der samtidig hæmmer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pathway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og dermed øger den hæmatologiske toksicitet: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Trimetoprim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, sulfonamider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og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dapson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.</w:t>
      </w:r>
    </w:p>
    <w:p w14:paraId="4C227AC6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Ekstra kontrol ved indgift af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theophyllamin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(serumkoncentration) samt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warfarin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(INR).</w:t>
      </w:r>
    </w:p>
    <w:p w14:paraId="61CCDBF7" w14:textId="77777777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0B1F6B00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Kontrolbehov:</w:t>
      </w:r>
    </w:p>
    <w:p w14:paraId="4F58916D" w14:textId="2D276438" w:rsidR="008B1753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Før opstart af behandlingen:</w:t>
      </w:r>
    </w:p>
    <w:p w14:paraId="5B3C9361" w14:textId="633A814E" w:rsidR="001E3B8D" w:rsidRPr="00AC3D01" w:rsidRDefault="001E3B8D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Patienten informeres mundtlig og skriftlig om behandlingen.</w:t>
      </w:r>
    </w:p>
    <w:p w14:paraId="5DDF0369" w14:textId="407BE06F" w:rsidR="001B583F" w:rsidRDefault="000E7549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>
        <w:rPr>
          <w:rFonts w:ascii="Arial" w:eastAsia="Times New Roman" w:hAnsi="Arial" w:cs="Arial"/>
          <w:color w:val="222222"/>
          <w:lang w:eastAsia="da-DK"/>
        </w:rPr>
        <w:t>R</w:t>
      </w:r>
      <w:r w:rsidR="008B1753" w:rsidRPr="00AC3D01">
        <w:rPr>
          <w:rFonts w:ascii="Arial" w:eastAsia="Times New Roman" w:hAnsi="Arial" w:cs="Arial"/>
          <w:color w:val="222222"/>
          <w:lang w:eastAsia="da-DK"/>
        </w:rPr>
        <w:t>ødt blodbillede</w:t>
      </w:r>
      <w:r>
        <w:rPr>
          <w:rFonts w:ascii="Arial" w:eastAsia="Times New Roman" w:hAnsi="Arial" w:cs="Arial"/>
          <w:color w:val="222222"/>
          <w:lang w:eastAsia="da-DK"/>
        </w:rPr>
        <w:t xml:space="preserve"> (</w:t>
      </w:r>
      <w:proofErr w:type="spellStart"/>
      <w:r w:rsidR="009D52FB">
        <w:rPr>
          <w:rFonts w:ascii="Arial" w:eastAsia="Times New Roman" w:hAnsi="Arial" w:cs="Arial"/>
          <w:color w:val="222222"/>
          <w:lang w:eastAsia="da-DK"/>
        </w:rPr>
        <w:t>h</w:t>
      </w:r>
      <w:r>
        <w:rPr>
          <w:rFonts w:ascii="Arial" w:eastAsia="Times New Roman" w:hAnsi="Arial" w:cs="Arial"/>
          <w:color w:val="222222"/>
          <w:lang w:eastAsia="da-DK"/>
        </w:rPr>
        <w:t>gb</w:t>
      </w:r>
      <w:proofErr w:type="spellEnd"/>
      <w:r>
        <w:rPr>
          <w:rFonts w:ascii="Arial" w:eastAsia="Times New Roman" w:hAnsi="Arial" w:cs="Arial"/>
          <w:color w:val="222222"/>
          <w:lang w:eastAsia="da-DK"/>
        </w:rPr>
        <w:t>, erytrocyt undersøgelse og hæmatokrit)</w:t>
      </w:r>
      <w:r w:rsidR="008B1753" w:rsidRPr="00AC3D01">
        <w:rPr>
          <w:rFonts w:ascii="Arial" w:eastAsia="Times New Roman" w:hAnsi="Arial" w:cs="Arial"/>
          <w:color w:val="222222"/>
          <w:lang w:eastAsia="da-DK"/>
        </w:rPr>
        <w:t xml:space="preserve">, leukocytter + </w:t>
      </w:r>
      <w:proofErr w:type="spellStart"/>
      <w:r w:rsidR="008B1753" w:rsidRPr="00AC3D01">
        <w:rPr>
          <w:rFonts w:ascii="Arial" w:eastAsia="Times New Roman" w:hAnsi="Arial" w:cs="Arial"/>
          <w:color w:val="222222"/>
          <w:lang w:eastAsia="da-DK"/>
        </w:rPr>
        <w:t>differentialtælling</w:t>
      </w:r>
      <w:proofErr w:type="spellEnd"/>
      <w:r w:rsidR="008B1753"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="008B1753" w:rsidRPr="00AC3D01">
        <w:rPr>
          <w:rFonts w:ascii="Arial" w:eastAsia="Times New Roman" w:hAnsi="Arial" w:cs="Arial"/>
          <w:color w:val="222222"/>
          <w:lang w:eastAsia="da-DK"/>
        </w:rPr>
        <w:t>trombocytter</w:t>
      </w:r>
      <w:proofErr w:type="spellEnd"/>
      <w:r w:rsidR="008B1753"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="008B1753" w:rsidRPr="00AC3D01">
        <w:rPr>
          <w:rFonts w:ascii="Arial" w:eastAsia="Times New Roman" w:hAnsi="Arial" w:cs="Arial"/>
          <w:color w:val="222222"/>
          <w:lang w:eastAsia="da-DK"/>
        </w:rPr>
        <w:t>kreatinin</w:t>
      </w:r>
      <w:proofErr w:type="spellEnd"/>
      <w:r w:rsidR="008B1753" w:rsidRPr="00AC3D01">
        <w:rPr>
          <w:rFonts w:ascii="Arial" w:eastAsia="Times New Roman" w:hAnsi="Arial" w:cs="Arial"/>
          <w:color w:val="222222"/>
          <w:lang w:eastAsia="da-DK"/>
        </w:rPr>
        <w:t>, ALAT, basiske fosfataser</w:t>
      </w:r>
      <w:r w:rsidR="001B583F">
        <w:rPr>
          <w:rFonts w:ascii="Arial" w:eastAsia="Times New Roman" w:hAnsi="Arial" w:cs="Arial"/>
          <w:color w:val="222222"/>
          <w:lang w:eastAsia="da-DK"/>
        </w:rPr>
        <w:t xml:space="preserve"> og</w:t>
      </w:r>
      <w:r w:rsidR="008B1753" w:rsidRPr="00AC3D01">
        <w:rPr>
          <w:rFonts w:ascii="Arial" w:eastAsia="Times New Roman" w:hAnsi="Arial" w:cs="Arial"/>
          <w:color w:val="222222"/>
          <w:lang w:eastAsia="da-DK"/>
        </w:rPr>
        <w:t xml:space="preserve"> albumin.</w:t>
      </w:r>
      <w:r w:rsidR="00094BD0"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</w:p>
    <w:p w14:paraId="03B7D68F" w14:textId="073BC02E" w:rsidR="00972045" w:rsidRDefault="001B583F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>
        <w:rPr>
          <w:rFonts w:ascii="Arial" w:eastAsia="Times New Roman" w:hAnsi="Arial" w:cs="Arial"/>
          <w:color w:val="222222"/>
          <w:lang w:eastAsia="da-DK"/>
        </w:rPr>
        <w:t xml:space="preserve">De fleste steder anvendes desuden </w:t>
      </w:r>
      <w:r w:rsidR="001E3B8D">
        <w:rPr>
          <w:rFonts w:ascii="Arial" w:eastAsia="Times New Roman" w:hAnsi="Arial" w:cs="Arial"/>
          <w:color w:val="222222"/>
          <w:lang w:eastAsia="da-DK"/>
        </w:rPr>
        <w:t xml:space="preserve">en ekstra markør for leversygdom. De hyppigste er </w:t>
      </w:r>
      <w:r w:rsidRPr="00AC3D01">
        <w:rPr>
          <w:rFonts w:ascii="Arial" w:eastAsia="Times New Roman" w:hAnsi="Arial" w:cs="Arial"/>
          <w:color w:val="222222"/>
          <w:lang w:eastAsia="da-DK"/>
        </w:rPr>
        <w:t>pro-collagen-III-peptid (P-III-NP) (ikke anvendelig ved børn</w:t>
      </w:r>
      <w:r w:rsidR="00072B7C">
        <w:rPr>
          <w:rFonts w:ascii="Arial" w:eastAsia="Times New Roman" w:hAnsi="Arial" w:cs="Arial"/>
          <w:color w:val="222222"/>
          <w:lang w:eastAsia="da-DK"/>
        </w:rPr>
        <w:t xml:space="preserve"> og ældre</w:t>
      </w:r>
      <w:r w:rsidRPr="00AC3D01">
        <w:rPr>
          <w:rFonts w:ascii="Arial" w:eastAsia="Times New Roman" w:hAnsi="Arial" w:cs="Arial"/>
          <w:color w:val="222222"/>
          <w:lang w:eastAsia="da-DK"/>
        </w:rPr>
        <w:t>)</w:t>
      </w:r>
      <w:r w:rsidR="001E3B8D">
        <w:rPr>
          <w:rFonts w:ascii="Arial" w:eastAsia="Times New Roman" w:hAnsi="Arial" w:cs="Arial"/>
          <w:color w:val="222222"/>
          <w:lang w:eastAsia="da-DK"/>
        </w:rPr>
        <w:t xml:space="preserve"> og </w:t>
      </w:r>
      <w:proofErr w:type="spellStart"/>
      <w:r w:rsidR="00021CAA">
        <w:rPr>
          <w:rFonts w:ascii="Arial" w:eastAsia="Times New Roman" w:hAnsi="Arial" w:cs="Arial"/>
          <w:color w:val="222222"/>
          <w:lang w:eastAsia="da-DK"/>
        </w:rPr>
        <w:t>fibrosis</w:t>
      </w:r>
      <w:proofErr w:type="spellEnd"/>
      <w:r w:rsidR="00021CAA">
        <w:rPr>
          <w:rFonts w:ascii="Arial" w:eastAsia="Times New Roman" w:hAnsi="Arial" w:cs="Arial"/>
          <w:color w:val="222222"/>
          <w:lang w:eastAsia="da-DK"/>
        </w:rPr>
        <w:t xml:space="preserve"> 4 (</w:t>
      </w:r>
      <w:r w:rsidR="001E3B8D">
        <w:rPr>
          <w:rFonts w:ascii="Arial" w:eastAsia="Times New Roman" w:hAnsi="Arial" w:cs="Arial"/>
          <w:color w:val="222222"/>
          <w:lang w:eastAsia="da-DK"/>
        </w:rPr>
        <w:t>Fib-4</w:t>
      </w:r>
      <w:r w:rsidR="00021CAA">
        <w:rPr>
          <w:rFonts w:ascii="Arial" w:eastAsia="Times New Roman" w:hAnsi="Arial" w:cs="Arial"/>
          <w:color w:val="222222"/>
          <w:lang w:eastAsia="da-DK"/>
        </w:rPr>
        <w:t>)</w:t>
      </w:r>
      <w:r>
        <w:rPr>
          <w:rFonts w:ascii="Arial" w:eastAsia="Times New Roman" w:hAnsi="Arial" w:cs="Arial"/>
          <w:color w:val="222222"/>
          <w:lang w:eastAsia="da-DK"/>
        </w:rPr>
        <w:t>, som hjælp til monitorering af leverpåvirkning, s</w:t>
      </w:r>
      <w:r w:rsidR="00094BD0" w:rsidRPr="00AC3D01">
        <w:rPr>
          <w:rFonts w:ascii="Arial" w:eastAsia="Times New Roman" w:hAnsi="Arial" w:cs="Arial"/>
          <w:color w:val="222222"/>
          <w:lang w:eastAsia="da-DK"/>
        </w:rPr>
        <w:t>e figur 1.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4D1C72">
        <w:rPr>
          <w:rFonts w:ascii="Arial" w:eastAsia="Times New Roman" w:hAnsi="Arial" w:cs="Arial"/>
          <w:color w:val="222222"/>
          <w:lang w:eastAsia="da-DK"/>
        </w:rPr>
        <w:t xml:space="preserve">Anvendelse af </w:t>
      </w:r>
      <w:r w:rsidR="00EA5900">
        <w:rPr>
          <w:rFonts w:ascii="Arial" w:eastAsia="Times New Roman" w:hAnsi="Arial" w:cs="Arial"/>
          <w:color w:val="222222"/>
          <w:lang w:eastAsia="da-DK"/>
        </w:rPr>
        <w:t>Fib-4 frem for P-III-NP bliver mere og mere standard.</w:t>
      </w:r>
    </w:p>
    <w:p w14:paraId="02AE50DF" w14:textId="15FE66FC" w:rsidR="00437846" w:rsidRPr="00964993" w:rsidRDefault="00437846" w:rsidP="00437846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964993">
        <w:rPr>
          <w:rFonts w:ascii="Arial" w:hAnsi="Arial" w:cs="Arial"/>
        </w:rPr>
        <w:t xml:space="preserve">Der kan overvejes at screene for hepatitis B og C ved alle, der </w:t>
      </w:r>
      <w:r w:rsidR="00277C9F">
        <w:rPr>
          <w:rFonts w:ascii="Arial" w:hAnsi="Arial" w:cs="Arial"/>
        </w:rPr>
        <w:t>har øget risiko for viral hepatitis</w:t>
      </w:r>
      <w:r w:rsidRPr="00964993">
        <w:rPr>
          <w:rFonts w:ascii="Arial" w:hAnsi="Arial" w:cs="Arial"/>
        </w:rPr>
        <w:t>.</w:t>
      </w:r>
    </w:p>
    <w:p w14:paraId="29AFD632" w14:textId="30A32230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br/>
      </w: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Under behandlingen:</w:t>
      </w:r>
    </w:p>
    <w:p w14:paraId="59B90525" w14:textId="762662C0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Kontrol af </w:t>
      </w:r>
      <w:r w:rsidR="00BC4F0F">
        <w:rPr>
          <w:rFonts w:ascii="Arial" w:eastAsia="Times New Roman" w:hAnsi="Arial" w:cs="Arial"/>
          <w:color w:val="222222"/>
          <w:lang w:eastAsia="da-DK"/>
        </w:rPr>
        <w:t>ovennævnte</w:t>
      </w:r>
      <w:r w:rsidR="000E7549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>blodprøver efter 2 ugers behandling, derefter h</w:t>
      </w:r>
      <w:r w:rsidR="00F22741" w:rsidRPr="00AC3D01">
        <w:rPr>
          <w:rFonts w:ascii="Arial" w:eastAsia="Times New Roman" w:hAnsi="Arial" w:cs="Arial"/>
          <w:color w:val="222222"/>
          <w:lang w:eastAsia="da-DK"/>
        </w:rPr>
        <w:t>ver 2. uge indtil uge 8</w:t>
      </w:r>
      <w:r w:rsidRPr="00AC3D01">
        <w:rPr>
          <w:rFonts w:ascii="Arial" w:eastAsia="Times New Roman" w:hAnsi="Arial" w:cs="Arial"/>
          <w:color w:val="222222"/>
          <w:lang w:eastAsia="da-DK"/>
        </w:rPr>
        <w:t>. Ved ukompliceret forløb, uden påvirkning af blodparametrene, kan kontrolintervallet øges til op til 3 måneder.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</w:r>
    </w:p>
    <w:p w14:paraId="69ED14DA" w14:textId="595C4158" w:rsidR="001E3B8D" w:rsidRPr="00972045" w:rsidRDefault="001B583F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972045">
        <w:rPr>
          <w:rFonts w:ascii="Arial" w:eastAsia="Times New Roman" w:hAnsi="Arial" w:cs="Arial"/>
          <w:color w:val="222222"/>
          <w:lang w:eastAsia="da-DK"/>
        </w:rPr>
        <w:t>Hvis</w:t>
      </w:r>
      <w:r w:rsidR="001E3B8D" w:rsidRPr="00972045">
        <w:rPr>
          <w:rFonts w:ascii="Arial" w:eastAsia="Times New Roman" w:hAnsi="Arial" w:cs="Arial"/>
          <w:color w:val="222222"/>
          <w:lang w:eastAsia="da-DK"/>
        </w:rPr>
        <w:t xml:space="preserve"> Fib-4 </w:t>
      </w:r>
      <w:r w:rsidR="00F7456B">
        <w:rPr>
          <w:rFonts w:ascii="Arial" w:eastAsia="Times New Roman" w:hAnsi="Arial" w:cs="Arial"/>
          <w:color w:val="222222"/>
          <w:lang w:eastAsia="da-DK"/>
        </w:rPr>
        <w:t xml:space="preserve">eller PIIINP </w:t>
      </w:r>
      <w:r w:rsidRPr="00972045">
        <w:rPr>
          <w:rFonts w:ascii="Arial" w:eastAsia="Times New Roman" w:hAnsi="Arial" w:cs="Arial"/>
          <w:color w:val="222222"/>
          <w:lang w:eastAsia="da-DK"/>
        </w:rPr>
        <w:t>anvendes</w:t>
      </w:r>
      <w:r w:rsidR="00B74D1F" w:rsidRPr="00972045">
        <w:rPr>
          <w:rFonts w:ascii="Arial" w:eastAsia="Times New Roman" w:hAnsi="Arial" w:cs="Arial"/>
          <w:color w:val="222222"/>
          <w:lang w:eastAsia="da-DK"/>
        </w:rPr>
        <w:t>,</w:t>
      </w:r>
      <w:r w:rsidRPr="00972045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 xml:space="preserve">måles </w:t>
      </w:r>
      <w:r w:rsidRPr="00972045">
        <w:rPr>
          <w:rFonts w:ascii="Arial" w:eastAsia="Times New Roman" w:hAnsi="Arial" w:cs="Arial"/>
          <w:color w:val="222222"/>
          <w:lang w:eastAsia="da-DK"/>
        </w:rPr>
        <w:t xml:space="preserve">de </w:t>
      </w:r>
      <w:r w:rsidR="00BC4F0F" w:rsidRPr="00972045">
        <w:rPr>
          <w:rFonts w:ascii="Arial" w:eastAsia="Times New Roman" w:hAnsi="Arial" w:cs="Arial"/>
          <w:color w:val="222222"/>
          <w:lang w:eastAsia="da-DK"/>
        </w:rPr>
        <w:t xml:space="preserve">før start og derefter 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 xml:space="preserve">rutinemæssigt hver </w:t>
      </w:r>
      <w:r w:rsidR="00972045" w:rsidRPr="00972045">
        <w:rPr>
          <w:rFonts w:ascii="Arial" w:eastAsia="Times New Roman" w:hAnsi="Arial" w:cs="Arial"/>
          <w:color w:val="222222"/>
          <w:lang w:eastAsia="da-DK"/>
        </w:rPr>
        <w:t xml:space="preserve">12 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>mdr. </w:t>
      </w:r>
      <w:proofErr w:type="spellStart"/>
      <w:r w:rsidR="008B1753" w:rsidRPr="00972045">
        <w:rPr>
          <w:rFonts w:ascii="Arial" w:eastAsia="Times New Roman" w:hAnsi="Arial" w:cs="Arial"/>
          <w:color w:val="222222"/>
          <w:lang w:eastAsia="da-DK"/>
        </w:rPr>
        <w:t>Fibroscan</w:t>
      </w:r>
      <w:proofErr w:type="spellEnd"/>
      <w:r w:rsidR="008B1753" w:rsidRPr="00972045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="00972045" w:rsidRPr="00501EC1">
        <w:rPr>
          <w:rFonts w:ascii="Arial" w:hAnsi="Arial" w:cs="Arial"/>
        </w:rPr>
        <w:t>enhanced</w:t>
      </w:r>
      <w:proofErr w:type="spellEnd"/>
      <w:r w:rsidR="00972045" w:rsidRPr="00501EC1">
        <w:rPr>
          <w:rFonts w:ascii="Arial" w:hAnsi="Arial" w:cs="Arial"/>
        </w:rPr>
        <w:t xml:space="preserve"> liver </w:t>
      </w:r>
      <w:proofErr w:type="spellStart"/>
      <w:r w:rsidR="00972045" w:rsidRPr="00501EC1">
        <w:rPr>
          <w:rFonts w:ascii="Arial" w:hAnsi="Arial" w:cs="Arial"/>
        </w:rPr>
        <w:t>fibrosis</w:t>
      </w:r>
      <w:proofErr w:type="spellEnd"/>
      <w:r w:rsidR="00972045" w:rsidRPr="00501EC1">
        <w:rPr>
          <w:rFonts w:ascii="Arial" w:hAnsi="Arial" w:cs="Arial"/>
        </w:rPr>
        <w:t xml:space="preserve"> (ELF) måling</w:t>
      </w:r>
      <w:r w:rsidR="00972045" w:rsidRPr="00972045">
        <w:rPr>
          <w:rFonts w:ascii="Arial" w:eastAsia="Times New Roman" w:hAnsi="Arial" w:cs="Arial"/>
          <w:color w:val="222222"/>
          <w:lang w:eastAsia="da-DK"/>
        </w:rPr>
        <w:t xml:space="preserve"> og eventuelt 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>leverbiopsi af leveren bør overvejes ved forhøje</w:t>
      </w:r>
      <w:r w:rsidR="001E3B8D" w:rsidRPr="00972045">
        <w:rPr>
          <w:rFonts w:ascii="Arial" w:eastAsia="Times New Roman" w:hAnsi="Arial" w:cs="Arial"/>
          <w:color w:val="222222"/>
          <w:lang w:eastAsia="da-DK"/>
        </w:rPr>
        <w:t>de værdier</w:t>
      </w:r>
      <w:r w:rsidR="0000075C">
        <w:rPr>
          <w:rFonts w:ascii="Arial" w:eastAsia="Times New Roman" w:hAnsi="Arial" w:cs="Arial"/>
          <w:color w:val="222222"/>
          <w:lang w:eastAsia="da-DK"/>
        </w:rPr>
        <w:t xml:space="preserve"> (se figur 1)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 xml:space="preserve">. </w:t>
      </w:r>
    </w:p>
    <w:p w14:paraId="49EEC192" w14:textId="3421A35E" w:rsidR="001E3B8D" w:rsidRPr="001E3B8D" w:rsidRDefault="001E3B8D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1E3B8D">
        <w:rPr>
          <w:rFonts w:ascii="Arial" w:eastAsia="Times New Roman" w:hAnsi="Arial" w:cs="Arial"/>
          <w:color w:val="222222"/>
          <w:lang w:eastAsia="da-DK"/>
        </w:rPr>
        <w:t xml:space="preserve">For P-III-NP: Forhøjede værdier </w:t>
      </w:r>
      <w:r w:rsidR="008B1753" w:rsidRPr="001E3B8D">
        <w:rPr>
          <w:rFonts w:ascii="Arial" w:eastAsia="Times New Roman" w:hAnsi="Arial" w:cs="Arial"/>
          <w:color w:val="222222"/>
          <w:lang w:eastAsia="da-DK"/>
        </w:rPr>
        <w:t>kan dog ses ved b</w:t>
      </w:r>
      <w:r w:rsidR="00094BD0" w:rsidRPr="001E3B8D">
        <w:rPr>
          <w:rFonts w:ascii="Arial" w:eastAsia="Times New Roman" w:hAnsi="Arial" w:cs="Arial"/>
          <w:color w:val="222222"/>
          <w:lang w:eastAsia="da-DK"/>
        </w:rPr>
        <w:t xml:space="preserve">ørn og unge, </w:t>
      </w:r>
      <w:proofErr w:type="spellStart"/>
      <w:r w:rsidR="00094BD0" w:rsidRPr="001E3B8D">
        <w:rPr>
          <w:rFonts w:ascii="Arial" w:eastAsia="Times New Roman" w:hAnsi="Arial" w:cs="Arial"/>
          <w:color w:val="222222"/>
          <w:lang w:eastAsia="da-DK"/>
        </w:rPr>
        <w:t>sclerodermi</w:t>
      </w:r>
      <w:proofErr w:type="spellEnd"/>
      <w:r w:rsidR="00094BD0" w:rsidRPr="001E3B8D">
        <w:rPr>
          <w:rFonts w:ascii="Arial" w:eastAsia="Times New Roman" w:hAnsi="Arial" w:cs="Arial"/>
          <w:color w:val="222222"/>
          <w:lang w:eastAsia="da-DK"/>
        </w:rPr>
        <w:t xml:space="preserve"> art</w:t>
      </w:r>
      <w:r w:rsidR="008B1753" w:rsidRPr="001E3B8D">
        <w:rPr>
          <w:rFonts w:ascii="Arial" w:eastAsia="Times New Roman" w:hAnsi="Arial" w:cs="Arial"/>
          <w:color w:val="222222"/>
          <w:lang w:eastAsia="da-DK"/>
        </w:rPr>
        <w:t>riter</w:t>
      </w:r>
      <w:r w:rsidR="009A7088">
        <w:rPr>
          <w:rFonts w:ascii="Arial" w:eastAsia="Times New Roman" w:hAnsi="Arial" w:cs="Arial"/>
          <w:color w:val="222222"/>
          <w:lang w:eastAsia="da-DK"/>
        </w:rPr>
        <w:t>,</w:t>
      </w:r>
      <w:r w:rsidRPr="001E3B8D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972045">
        <w:rPr>
          <w:rFonts w:ascii="Arial" w:eastAsia="Times New Roman" w:hAnsi="Arial" w:cs="Arial"/>
          <w:color w:val="222222"/>
          <w:lang w:eastAsia="da-DK"/>
        </w:rPr>
        <w:t>knogle</w:t>
      </w:r>
      <w:r w:rsidR="00972045" w:rsidRPr="001E3B8D">
        <w:rPr>
          <w:rFonts w:ascii="Arial" w:eastAsia="Times New Roman" w:hAnsi="Arial" w:cs="Arial"/>
          <w:color w:val="222222"/>
          <w:lang w:eastAsia="da-DK"/>
        </w:rPr>
        <w:t>brud</w:t>
      </w:r>
      <w:r w:rsidRPr="001E3B8D">
        <w:rPr>
          <w:rFonts w:ascii="Arial" w:eastAsia="Times New Roman" w:hAnsi="Arial" w:cs="Arial"/>
          <w:color w:val="222222"/>
          <w:lang w:eastAsia="da-DK"/>
        </w:rPr>
        <w:t xml:space="preserve"> og operationer.</w:t>
      </w:r>
    </w:p>
    <w:p w14:paraId="11B1E38F" w14:textId="4343AEC1" w:rsidR="001E3B8D" w:rsidRPr="00DE4000" w:rsidRDefault="001E3B8D" w:rsidP="00DE4000">
      <w:pPr>
        <w:spacing w:after="0" w:line="240" w:lineRule="auto"/>
        <w:rPr>
          <w:rFonts w:ascii="Arial" w:hAnsi="Arial" w:cs="Arial"/>
        </w:rPr>
      </w:pPr>
      <w:r w:rsidRPr="001E3B8D">
        <w:rPr>
          <w:rFonts w:ascii="Arial" w:eastAsia="Times New Roman" w:hAnsi="Arial" w:cs="Arial"/>
          <w:color w:val="222222"/>
          <w:lang w:eastAsia="da-DK"/>
        </w:rPr>
        <w:t>For Fib</w:t>
      </w:r>
      <w:r w:rsidRPr="00B750C8">
        <w:rPr>
          <w:rFonts w:ascii="Arial" w:eastAsia="Times New Roman" w:hAnsi="Arial" w:cs="Arial"/>
          <w:color w:val="222222"/>
          <w:lang w:eastAsia="da-DK"/>
        </w:rPr>
        <w:t xml:space="preserve">-4 er værdier </w:t>
      </w:r>
      <w:r w:rsidR="0000075C" w:rsidRPr="00B750C8">
        <w:rPr>
          <w:rFonts w:ascii="Arial" w:eastAsia="Times New Roman" w:hAnsi="Arial" w:cs="Arial"/>
          <w:color w:val="222222"/>
          <w:lang w:eastAsia="da-DK"/>
        </w:rPr>
        <w:t>&lt;</w:t>
      </w:r>
      <w:r w:rsidRPr="00B750C8">
        <w:rPr>
          <w:rFonts w:ascii="Arial" w:eastAsia="Times New Roman" w:hAnsi="Arial" w:cs="Arial"/>
          <w:color w:val="222222"/>
          <w:lang w:eastAsia="da-DK"/>
        </w:rPr>
        <w:t xml:space="preserve"> 1</w:t>
      </w:r>
      <w:r w:rsidR="001477A4">
        <w:rPr>
          <w:rFonts w:ascii="Arial" w:eastAsia="Times New Roman" w:hAnsi="Arial" w:cs="Arial"/>
          <w:color w:val="222222"/>
          <w:lang w:eastAsia="da-DK"/>
        </w:rPr>
        <w:t>,</w:t>
      </w:r>
      <w:r w:rsidR="00972045" w:rsidRPr="00B750C8">
        <w:rPr>
          <w:rFonts w:ascii="Arial" w:eastAsia="Times New Roman" w:hAnsi="Arial" w:cs="Arial"/>
          <w:color w:val="222222"/>
          <w:lang w:eastAsia="da-DK"/>
        </w:rPr>
        <w:t>3</w:t>
      </w:r>
      <w:r w:rsidRPr="00B750C8">
        <w:rPr>
          <w:rFonts w:ascii="Arial" w:eastAsia="Times New Roman" w:hAnsi="Arial" w:cs="Arial"/>
          <w:color w:val="222222"/>
          <w:lang w:eastAsia="da-DK"/>
        </w:rPr>
        <w:t xml:space="preserve"> normale. Tallet beregnes ud fra alder, samt værdi af </w:t>
      </w:r>
      <w:proofErr w:type="spellStart"/>
      <w:r w:rsidRPr="00B750C8">
        <w:rPr>
          <w:rFonts w:ascii="Arial" w:eastAsia="Times New Roman" w:hAnsi="Arial" w:cs="Arial"/>
          <w:color w:val="222222"/>
          <w:lang w:eastAsia="da-DK"/>
        </w:rPr>
        <w:t>trombocytter</w:t>
      </w:r>
      <w:proofErr w:type="spellEnd"/>
      <w:r w:rsidRPr="00B750C8">
        <w:rPr>
          <w:rFonts w:ascii="Arial" w:eastAsia="Times New Roman" w:hAnsi="Arial" w:cs="Arial"/>
          <w:color w:val="222222"/>
          <w:lang w:eastAsia="da-DK"/>
        </w:rPr>
        <w:t>, ALAT og ASAT</w:t>
      </w:r>
      <w:r w:rsidR="00072B7C" w:rsidRPr="00B750C8">
        <w:rPr>
          <w:rFonts w:ascii="Arial" w:eastAsia="Times New Roman" w:hAnsi="Arial" w:cs="Arial"/>
          <w:color w:val="222222"/>
          <w:lang w:eastAsia="da-DK"/>
        </w:rPr>
        <w:t xml:space="preserve">. </w:t>
      </w:r>
      <w:r w:rsidR="00072B7C" w:rsidRPr="00F66381">
        <w:rPr>
          <w:rFonts w:ascii="Arial" w:hAnsi="Arial" w:cs="Arial"/>
          <w:color w:val="000000"/>
        </w:rPr>
        <w:t xml:space="preserve">Hvis disse værdier er </w:t>
      </w:r>
      <w:r w:rsidR="00072B7C" w:rsidRPr="00F66381">
        <w:rPr>
          <w:rFonts w:ascii="Arial" w:hAnsi="Arial" w:cs="Arial"/>
        </w:rPr>
        <w:t xml:space="preserve">skæve af andre årsager, </w:t>
      </w:r>
      <w:r w:rsidR="00072B7C" w:rsidRPr="00F66381">
        <w:rPr>
          <w:rFonts w:ascii="Arial" w:hAnsi="Arial" w:cs="Arial"/>
          <w:color w:val="000000"/>
        </w:rPr>
        <w:t>kan prøven ikke bruges</w:t>
      </w:r>
      <w:r w:rsidR="008B1753" w:rsidRPr="00B750C8">
        <w:rPr>
          <w:rFonts w:ascii="Arial" w:eastAsia="Times New Roman" w:hAnsi="Arial" w:cs="Arial"/>
          <w:color w:val="222222"/>
          <w:lang w:eastAsia="da-DK"/>
        </w:rPr>
        <w:t>.</w:t>
      </w:r>
      <w:r w:rsidRPr="00B750C8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9A7088">
        <w:rPr>
          <w:rFonts w:ascii="Arial" w:eastAsia="Times New Roman" w:hAnsi="Arial" w:cs="Arial"/>
          <w:color w:val="222222"/>
          <w:lang w:eastAsia="da-DK"/>
        </w:rPr>
        <w:t>Fib-4 kan a</w:t>
      </w:r>
      <w:r w:rsidRPr="001E3B8D">
        <w:rPr>
          <w:rFonts w:ascii="Arial" w:eastAsia="Times New Roman" w:hAnsi="Arial" w:cs="Arial"/>
          <w:color w:val="222222"/>
          <w:lang w:eastAsia="da-DK"/>
        </w:rPr>
        <w:t xml:space="preserve">nvendes </w:t>
      </w:r>
      <w:r w:rsidRPr="00DE4000">
        <w:rPr>
          <w:rFonts w:ascii="Arial" w:hAnsi="Arial" w:cs="Arial"/>
        </w:rPr>
        <w:t xml:space="preserve">i alderen &gt; 18 år og &lt; </w:t>
      </w:r>
      <w:r w:rsidR="00972045">
        <w:rPr>
          <w:rFonts w:ascii="Arial" w:hAnsi="Arial" w:cs="Arial"/>
        </w:rPr>
        <w:t>65</w:t>
      </w:r>
      <w:r w:rsidRPr="00DE4000">
        <w:rPr>
          <w:rFonts w:ascii="Arial" w:hAnsi="Arial" w:cs="Arial"/>
        </w:rPr>
        <w:t xml:space="preserve"> år og ved ugentligt alkoholindtag &lt;7 genstande for kvinder og &lt;14 genstande for </w:t>
      </w:r>
      <w:r w:rsidRPr="00DE4000">
        <w:rPr>
          <w:rFonts w:ascii="Arial" w:hAnsi="Arial" w:cs="Arial"/>
        </w:rPr>
        <w:lastRenderedPageBreak/>
        <w:t>mænd</w:t>
      </w:r>
      <w:r>
        <w:rPr>
          <w:rFonts w:ascii="Arial" w:hAnsi="Arial" w:cs="Arial"/>
        </w:rPr>
        <w:t>.</w:t>
      </w:r>
      <w:r w:rsidR="00072B7C">
        <w:rPr>
          <w:rFonts w:ascii="Arial" w:hAnsi="Arial" w:cs="Arial"/>
        </w:rPr>
        <w:t xml:space="preserve"> Øvre grænse for ældre er endnu ikke defineret.</w:t>
      </w:r>
      <w:r w:rsidR="00473919">
        <w:rPr>
          <w:rFonts w:ascii="Arial" w:hAnsi="Arial" w:cs="Arial"/>
        </w:rPr>
        <w:t xml:space="preserve"> </w:t>
      </w:r>
      <w:r w:rsidR="00420C77">
        <w:rPr>
          <w:rFonts w:ascii="Arial" w:hAnsi="Arial" w:cs="Arial"/>
        </w:rPr>
        <w:t xml:space="preserve">Fib-4 anbefales generelt som første </w:t>
      </w:r>
      <w:r w:rsidR="00263B0E">
        <w:rPr>
          <w:rFonts w:ascii="Arial" w:hAnsi="Arial" w:cs="Arial"/>
        </w:rPr>
        <w:t xml:space="preserve">screening for fibrose i leveren. Ved Fib-4 </w:t>
      </w:r>
      <w:r w:rsidR="00BF5BCB">
        <w:rPr>
          <w:rFonts w:ascii="Arial" w:hAnsi="Arial" w:cs="Arial"/>
        </w:rPr>
        <w:t>&lt;1,3 er der ingen risiko</w:t>
      </w:r>
      <w:r w:rsidR="005132C3">
        <w:rPr>
          <w:rFonts w:ascii="Arial" w:hAnsi="Arial" w:cs="Arial"/>
        </w:rPr>
        <w:t>,</w:t>
      </w:r>
      <w:r w:rsidR="00BF5BCB">
        <w:rPr>
          <w:rFonts w:ascii="Arial" w:hAnsi="Arial" w:cs="Arial"/>
        </w:rPr>
        <w:t xml:space="preserve"> men ved Fib-4 værdier over 2,67 er der risiko for væsentlig fibrose og patienten skal henvises </w:t>
      </w:r>
      <w:r w:rsidR="008D4575">
        <w:rPr>
          <w:rFonts w:ascii="Arial" w:hAnsi="Arial" w:cs="Arial"/>
        </w:rPr>
        <w:t xml:space="preserve">til yderlig udredning. Fib-4 er markør for </w:t>
      </w:r>
      <w:proofErr w:type="spellStart"/>
      <w:r w:rsidR="008D4575">
        <w:rPr>
          <w:rFonts w:ascii="Arial" w:hAnsi="Arial" w:cs="Arial"/>
        </w:rPr>
        <w:t>steatotisk</w:t>
      </w:r>
      <w:proofErr w:type="spellEnd"/>
      <w:r w:rsidR="008D4575">
        <w:rPr>
          <w:rFonts w:ascii="Arial" w:hAnsi="Arial" w:cs="Arial"/>
        </w:rPr>
        <w:t xml:space="preserve"> leversygdom </w:t>
      </w:r>
      <w:r w:rsidR="00312B01">
        <w:rPr>
          <w:rFonts w:ascii="Arial" w:hAnsi="Arial" w:cs="Arial"/>
        </w:rPr>
        <w:t xml:space="preserve">og ses forhøjet ved </w:t>
      </w:r>
      <w:r w:rsidR="00C120CC">
        <w:rPr>
          <w:rFonts w:ascii="Arial" w:hAnsi="Arial" w:cs="Arial"/>
        </w:rPr>
        <w:t>personer med BMI&gt;30, DM2 og stor</w:t>
      </w:r>
      <w:r w:rsidR="00FB37AD">
        <w:rPr>
          <w:rFonts w:ascii="Arial" w:hAnsi="Arial" w:cs="Arial"/>
        </w:rPr>
        <w:t>t</w:t>
      </w:r>
      <w:r w:rsidR="00C120CC">
        <w:rPr>
          <w:rFonts w:ascii="Arial" w:hAnsi="Arial" w:cs="Arial"/>
        </w:rPr>
        <w:t xml:space="preserve"> alkohol indtag. </w:t>
      </w:r>
      <w:r w:rsidR="008B5D86">
        <w:rPr>
          <w:rFonts w:ascii="Arial" w:hAnsi="Arial" w:cs="Arial"/>
        </w:rPr>
        <w:t xml:space="preserve">Ved værdier mellem 1,3 og 2,67 må </w:t>
      </w:r>
      <w:r w:rsidR="00BC290E">
        <w:rPr>
          <w:rFonts w:ascii="Arial" w:hAnsi="Arial" w:cs="Arial"/>
        </w:rPr>
        <w:t xml:space="preserve">det </w:t>
      </w:r>
      <w:r w:rsidR="008B5D86">
        <w:rPr>
          <w:rFonts w:ascii="Arial" w:hAnsi="Arial" w:cs="Arial"/>
        </w:rPr>
        <w:t>vurderes om der er andre årsager til forhøjede værdier hos den enkelte patient</w:t>
      </w:r>
      <w:r w:rsidR="00A52D3E">
        <w:rPr>
          <w:rFonts w:ascii="Arial" w:hAnsi="Arial" w:cs="Arial"/>
        </w:rPr>
        <w:t xml:space="preserve"> og </w:t>
      </w:r>
      <w:r w:rsidR="001D3615">
        <w:rPr>
          <w:rFonts w:ascii="Arial" w:hAnsi="Arial" w:cs="Arial"/>
        </w:rPr>
        <w:t xml:space="preserve">patienten </w:t>
      </w:r>
      <w:r w:rsidR="00A52D3E">
        <w:rPr>
          <w:rFonts w:ascii="Arial" w:hAnsi="Arial" w:cs="Arial"/>
        </w:rPr>
        <w:t xml:space="preserve">anbefales </w:t>
      </w:r>
      <w:r w:rsidR="00B77F49">
        <w:rPr>
          <w:rFonts w:ascii="Arial" w:hAnsi="Arial" w:cs="Arial"/>
        </w:rPr>
        <w:t>at bedre</w:t>
      </w:r>
      <w:r w:rsidR="00A52D3E">
        <w:rPr>
          <w:rFonts w:ascii="Arial" w:hAnsi="Arial" w:cs="Arial"/>
        </w:rPr>
        <w:t xml:space="preserve"> </w:t>
      </w:r>
      <w:r w:rsidR="00627603">
        <w:rPr>
          <w:rFonts w:ascii="Arial" w:hAnsi="Arial" w:cs="Arial"/>
        </w:rPr>
        <w:t xml:space="preserve">kost, </w:t>
      </w:r>
      <w:r w:rsidR="0086579F">
        <w:rPr>
          <w:rFonts w:ascii="Arial" w:hAnsi="Arial" w:cs="Arial"/>
        </w:rPr>
        <w:t>rygning, alkohol og motion (</w:t>
      </w:r>
      <w:r w:rsidR="00A52D3E">
        <w:rPr>
          <w:rFonts w:ascii="Arial" w:hAnsi="Arial" w:cs="Arial"/>
        </w:rPr>
        <w:t>KRAM</w:t>
      </w:r>
      <w:r w:rsidR="0086579F">
        <w:rPr>
          <w:rFonts w:ascii="Arial" w:hAnsi="Arial" w:cs="Arial"/>
        </w:rPr>
        <w:t>)</w:t>
      </w:r>
      <w:r w:rsidR="00B77F49">
        <w:rPr>
          <w:rFonts w:ascii="Arial" w:hAnsi="Arial" w:cs="Arial"/>
        </w:rPr>
        <w:t xml:space="preserve"> faktorer.</w:t>
      </w:r>
      <w:r w:rsidR="0086579F">
        <w:rPr>
          <w:rFonts w:ascii="Arial" w:hAnsi="Arial" w:cs="Arial"/>
        </w:rPr>
        <w:t xml:space="preserve"> Forhøjet Fib-4 </w:t>
      </w:r>
      <w:r w:rsidR="00CE21F6">
        <w:rPr>
          <w:rFonts w:ascii="Arial" w:hAnsi="Arial" w:cs="Arial"/>
        </w:rPr>
        <w:t xml:space="preserve">i gråzonen </w:t>
      </w:r>
      <w:r w:rsidR="0086579F">
        <w:rPr>
          <w:rFonts w:ascii="Arial" w:hAnsi="Arial" w:cs="Arial"/>
        </w:rPr>
        <w:t xml:space="preserve">er ikke kontraindikation for </w:t>
      </w:r>
      <w:r w:rsidR="00645526">
        <w:rPr>
          <w:rFonts w:ascii="Arial" w:hAnsi="Arial" w:cs="Arial"/>
        </w:rPr>
        <w:t>methotrexat behandling.</w:t>
      </w:r>
      <w:r w:rsidRPr="00DE4000">
        <w:rPr>
          <w:rFonts w:ascii="Arial" w:hAnsi="Arial" w:cs="Arial"/>
        </w:rPr>
        <w:br/>
      </w:r>
    </w:p>
    <w:p w14:paraId="71417F42" w14:textId="46FF5918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Der bør ikke skrives recept</w:t>
      </w:r>
      <w:r w:rsidR="009A7088">
        <w:rPr>
          <w:rFonts w:ascii="Arial" w:eastAsia="Times New Roman" w:hAnsi="Arial" w:cs="Arial"/>
          <w:color w:val="222222"/>
          <w:lang w:eastAsia="da-DK"/>
        </w:rPr>
        <w:t xml:space="preserve">er eller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udleveres mere medicin ad gangen, end at patienten herved bliver nødt til 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>fortsat at være under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BC4F0F">
        <w:rPr>
          <w:rFonts w:ascii="Arial" w:eastAsia="Times New Roman" w:hAnsi="Arial" w:cs="Arial"/>
          <w:color w:val="222222"/>
          <w:lang w:eastAsia="da-DK"/>
        </w:rPr>
        <w:t xml:space="preserve">jævnlig lægelig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kontrol for at fortsætte behandlingen. 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>Det e</w:t>
      </w:r>
      <w:r w:rsidRPr="00AC3D01">
        <w:rPr>
          <w:rFonts w:ascii="Arial" w:eastAsia="Times New Roman" w:hAnsi="Arial" w:cs="Arial"/>
          <w:color w:val="222222"/>
          <w:lang w:eastAsia="da-DK"/>
        </w:rPr>
        <w:t>r især vigtigt ved ældre eller ustabile patienter.</w:t>
      </w:r>
    </w:p>
    <w:p w14:paraId="78BBF3FE" w14:textId="77777777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5D8C6290" w14:textId="7068E746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Specielle forhold </w:t>
      </w:r>
      <w:r w:rsidR="007F06BA" w:rsidRPr="00AC3D01">
        <w:rPr>
          <w:rFonts w:ascii="Arial" w:eastAsia="Times New Roman" w:hAnsi="Arial" w:cs="Arial"/>
          <w:b/>
          <w:bCs/>
          <w:color w:val="222222"/>
          <w:lang w:eastAsia="da-DK"/>
        </w:rPr>
        <w:t>ved</w:t>
      </w: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 behandling</w:t>
      </w:r>
      <w:r w:rsidR="007F06BA" w:rsidRPr="00AC3D01">
        <w:rPr>
          <w:rFonts w:ascii="Arial" w:eastAsia="Times New Roman" w:hAnsi="Arial" w:cs="Arial"/>
          <w:b/>
          <w:bCs/>
          <w:color w:val="222222"/>
          <w:lang w:eastAsia="da-DK"/>
        </w:rPr>
        <w:t>en</w:t>
      </w: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:</w:t>
      </w:r>
    </w:p>
    <w:p w14:paraId="5671F97F" w14:textId="45B6C920" w:rsidR="00B74D1F" w:rsidRPr="00501EC1" w:rsidRDefault="008B1753" w:rsidP="00DE5C08">
      <w:pPr>
        <w:spacing w:line="240" w:lineRule="auto"/>
        <w:rPr>
          <w:rFonts w:ascii="Arial" w:hAnsi="Arial" w:cs="Arial"/>
          <w:b/>
        </w:rPr>
      </w:pPr>
      <w:r w:rsidRPr="00AC3D01">
        <w:rPr>
          <w:rFonts w:ascii="Arial" w:hAnsi="Arial" w:cs="Arial"/>
          <w:b/>
        </w:rPr>
        <w:t xml:space="preserve">Indikationer for at </w:t>
      </w:r>
      <w:r w:rsidRPr="00972045">
        <w:rPr>
          <w:rFonts w:ascii="Arial" w:hAnsi="Arial" w:cs="Arial"/>
          <w:b/>
        </w:rPr>
        <w:t xml:space="preserve">overveje </w:t>
      </w:r>
      <w:proofErr w:type="spellStart"/>
      <w:r w:rsidR="00666935" w:rsidRPr="00972045">
        <w:rPr>
          <w:rFonts w:ascii="Arial" w:hAnsi="Arial" w:cs="Arial"/>
          <w:b/>
        </w:rPr>
        <w:t>fibroscan</w:t>
      </w:r>
      <w:proofErr w:type="spellEnd"/>
      <w:r w:rsidR="00972045" w:rsidRPr="00972045">
        <w:rPr>
          <w:rFonts w:ascii="Arial" w:hAnsi="Arial" w:cs="Arial"/>
          <w:b/>
        </w:rPr>
        <w:t xml:space="preserve"> eller </w:t>
      </w:r>
      <w:r w:rsidR="00972045" w:rsidRPr="00501EC1">
        <w:rPr>
          <w:rFonts w:ascii="Arial" w:hAnsi="Arial" w:cs="Arial"/>
          <w:b/>
        </w:rPr>
        <w:t>ELF måling</w:t>
      </w:r>
      <w:r w:rsidR="0047114C">
        <w:rPr>
          <w:rFonts w:ascii="Arial" w:hAnsi="Arial" w:cs="Arial"/>
          <w:b/>
        </w:rPr>
        <w:t xml:space="preserve"> (ofte i samarbejde med </w:t>
      </w:r>
      <w:proofErr w:type="spellStart"/>
      <w:r w:rsidR="00550F64">
        <w:rPr>
          <w:rFonts w:ascii="Arial" w:hAnsi="Arial" w:cs="Arial"/>
          <w:b/>
        </w:rPr>
        <w:t>gas</w:t>
      </w:r>
      <w:r w:rsidR="001477A4">
        <w:rPr>
          <w:rFonts w:ascii="Arial" w:hAnsi="Arial" w:cs="Arial"/>
          <w:b/>
        </w:rPr>
        <w:t>.</w:t>
      </w:r>
      <w:r w:rsidR="00550F64">
        <w:rPr>
          <w:rFonts w:ascii="Arial" w:hAnsi="Arial" w:cs="Arial"/>
          <w:b/>
        </w:rPr>
        <w:t>med</w:t>
      </w:r>
      <w:proofErr w:type="spellEnd"/>
      <w:r w:rsidR="001477A4">
        <w:rPr>
          <w:rFonts w:ascii="Arial" w:hAnsi="Arial" w:cs="Arial"/>
          <w:b/>
        </w:rPr>
        <w:t>.</w:t>
      </w:r>
      <w:r w:rsidR="00550F64">
        <w:rPr>
          <w:rFonts w:ascii="Arial" w:hAnsi="Arial" w:cs="Arial"/>
          <w:b/>
        </w:rPr>
        <w:t>)</w:t>
      </w:r>
      <w:r w:rsidR="00DE5C08" w:rsidRPr="00972045">
        <w:rPr>
          <w:rFonts w:ascii="Arial" w:hAnsi="Arial" w:cs="Arial"/>
          <w:b/>
        </w:rPr>
        <w:t>:</w:t>
      </w:r>
      <w:r w:rsidR="00DE5C08" w:rsidRPr="00501EC1">
        <w:rPr>
          <w:rFonts w:ascii="Arial" w:hAnsi="Arial" w:cs="Arial"/>
          <w:b/>
        </w:rPr>
        <w:t xml:space="preserve"> </w:t>
      </w:r>
    </w:p>
    <w:p w14:paraId="4D53206B" w14:textId="326BC9DF" w:rsidR="00B74D1F" w:rsidRDefault="008B1753" w:rsidP="00EB49C0">
      <w:pPr>
        <w:pStyle w:val="Listeafsni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B49C0">
        <w:rPr>
          <w:rFonts w:ascii="Arial" w:hAnsi="Arial" w:cs="Arial"/>
        </w:rPr>
        <w:t>Betydelig fo</w:t>
      </w:r>
      <w:r w:rsidR="00DE5C08" w:rsidRPr="00EB49C0">
        <w:rPr>
          <w:rFonts w:ascii="Arial" w:hAnsi="Arial" w:cs="Arial"/>
        </w:rPr>
        <w:t xml:space="preserve">rhøjet PIIINP </w:t>
      </w:r>
      <w:r w:rsidR="001E3B8D">
        <w:rPr>
          <w:rFonts w:ascii="Arial" w:hAnsi="Arial" w:cs="Arial"/>
        </w:rPr>
        <w:t xml:space="preserve">eller Fib-4 </w:t>
      </w:r>
      <w:r w:rsidR="00DE5C08" w:rsidRPr="00EB49C0">
        <w:rPr>
          <w:rFonts w:ascii="Arial" w:hAnsi="Arial" w:cs="Arial"/>
        </w:rPr>
        <w:t>før opstart af methotrexat</w:t>
      </w:r>
      <w:r w:rsidRPr="00EB49C0">
        <w:rPr>
          <w:rFonts w:ascii="Arial" w:hAnsi="Arial" w:cs="Arial"/>
        </w:rPr>
        <w:t>.</w:t>
      </w:r>
      <w:r w:rsidR="00DE5C08" w:rsidRPr="00EB49C0">
        <w:rPr>
          <w:rFonts w:ascii="Arial" w:hAnsi="Arial" w:cs="Arial"/>
        </w:rPr>
        <w:t xml:space="preserve"> </w:t>
      </w:r>
    </w:p>
    <w:p w14:paraId="54CC4286" w14:textId="65CC63B3" w:rsidR="00B74D1F" w:rsidRDefault="008B1753" w:rsidP="00EB49C0">
      <w:pPr>
        <w:pStyle w:val="Listeafsni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B49C0">
        <w:rPr>
          <w:rFonts w:ascii="Arial" w:hAnsi="Arial" w:cs="Arial"/>
          <w:lang w:eastAsia="da-DK"/>
        </w:rPr>
        <w:t>Vedvarende stigning af PIIINP</w:t>
      </w:r>
      <w:r w:rsidR="001E3B8D">
        <w:rPr>
          <w:rFonts w:ascii="Arial" w:hAnsi="Arial" w:cs="Arial"/>
          <w:lang w:eastAsia="da-DK"/>
        </w:rPr>
        <w:t xml:space="preserve"> eller Fib-4</w:t>
      </w:r>
      <w:r w:rsidRPr="00EB49C0">
        <w:rPr>
          <w:rFonts w:ascii="Arial" w:hAnsi="Arial" w:cs="Arial"/>
          <w:lang w:eastAsia="da-DK"/>
        </w:rPr>
        <w:t xml:space="preserve"> i forhold til før behandling.</w:t>
      </w:r>
      <w:r w:rsidR="001B583F" w:rsidRPr="00EB49C0">
        <w:rPr>
          <w:rFonts w:ascii="Arial" w:hAnsi="Arial" w:cs="Arial"/>
          <w:lang w:eastAsia="da-DK"/>
        </w:rPr>
        <w:t xml:space="preserve"> Hvis PIIINP ikke anvendes gentagende forhøjede levertal eller forhøjede levertal inden start.</w:t>
      </w:r>
    </w:p>
    <w:p w14:paraId="68410A6E" w14:textId="4A989F03" w:rsidR="00B74D1F" w:rsidRPr="00EB49C0" w:rsidRDefault="00666935" w:rsidP="00EB49C0">
      <w:pPr>
        <w:pStyle w:val="Listeafsni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B49C0">
        <w:rPr>
          <w:rFonts w:ascii="Arial" w:hAnsi="Arial" w:cs="Arial"/>
          <w:lang w:eastAsia="da-DK"/>
        </w:rPr>
        <w:t xml:space="preserve">Hvis </w:t>
      </w:r>
      <w:r w:rsidR="008B1753" w:rsidRPr="00EB49C0">
        <w:rPr>
          <w:rFonts w:ascii="Arial" w:hAnsi="Arial" w:cs="Arial"/>
          <w:lang w:eastAsia="da-DK"/>
        </w:rPr>
        <w:t>PIIINP-værdie</w:t>
      </w:r>
      <w:r w:rsidRPr="00EB49C0">
        <w:rPr>
          <w:rFonts w:ascii="Arial" w:hAnsi="Arial" w:cs="Arial"/>
          <w:lang w:eastAsia="da-DK"/>
        </w:rPr>
        <w:t xml:space="preserve">n er forhøjet </w:t>
      </w:r>
      <w:r w:rsidR="008B1753" w:rsidRPr="00EB49C0">
        <w:rPr>
          <w:rFonts w:ascii="Arial" w:hAnsi="Arial" w:cs="Arial"/>
          <w:lang w:eastAsia="da-DK"/>
        </w:rPr>
        <w:t>over normalgrænsen</w:t>
      </w:r>
      <w:r w:rsidRPr="00EB49C0">
        <w:rPr>
          <w:rFonts w:ascii="Arial" w:hAnsi="Arial" w:cs="Arial"/>
          <w:lang w:eastAsia="da-DK"/>
        </w:rPr>
        <w:t xml:space="preserve"> ved 2-3 målinger</w:t>
      </w:r>
      <w:r w:rsidR="008B1753" w:rsidRPr="00EB49C0">
        <w:rPr>
          <w:rFonts w:ascii="Arial" w:hAnsi="Arial" w:cs="Arial"/>
          <w:lang w:eastAsia="da-DK"/>
        </w:rPr>
        <w:t xml:space="preserve"> indenfor en 12 måneders periode.</w:t>
      </w:r>
      <w:r w:rsidR="00DE5C08" w:rsidRPr="00EB49C0">
        <w:rPr>
          <w:rFonts w:ascii="Arial" w:hAnsi="Arial" w:cs="Arial"/>
          <w:lang w:eastAsia="da-DK"/>
        </w:rPr>
        <w:t xml:space="preserve"> </w:t>
      </w:r>
      <w:r w:rsidRPr="00EB49C0">
        <w:rPr>
          <w:rFonts w:ascii="Arial" w:hAnsi="Arial" w:cs="Arial"/>
          <w:lang w:eastAsia="da-DK"/>
        </w:rPr>
        <w:t xml:space="preserve"> </w:t>
      </w:r>
    </w:p>
    <w:p w14:paraId="6DAE21ED" w14:textId="7F434E00" w:rsidR="008B1753" w:rsidRPr="00EB49C0" w:rsidRDefault="00666935" w:rsidP="00EB49C0">
      <w:pPr>
        <w:spacing w:line="240" w:lineRule="auto"/>
        <w:rPr>
          <w:rFonts w:ascii="Arial" w:hAnsi="Arial" w:cs="Arial"/>
        </w:rPr>
      </w:pPr>
      <w:r w:rsidRPr="00EB49C0">
        <w:rPr>
          <w:rFonts w:ascii="Arial" w:hAnsi="Arial" w:cs="Arial"/>
          <w:lang w:eastAsia="da-DK"/>
        </w:rPr>
        <w:t xml:space="preserve">Forandringer ved </w:t>
      </w:r>
      <w:proofErr w:type="spellStart"/>
      <w:r w:rsidRPr="00EB49C0">
        <w:rPr>
          <w:rFonts w:ascii="Arial" w:hAnsi="Arial" w:cs="Arial"/>
          <w:lang w:eastAsia="da-DK"/>
        </w:rPr>
        <w:t>fibroscan</w:t>
      </w:r>
      <w:proofErr w:type="spellEnd"/>
      <w:r w:rsidRPr="00EB49C0">
        <w:rPr>
          <w:rFonts w:ascii="Arial" w:hAnsi="Arial" w:cs="Arial"/>
          <w:lang w:eastAsia="da-DK"/>
        </w:rPr>
        <w:t xml:space="preserve"> </w:t>
      </w:r>
      <w:r w:rsidR="00972045">
        <w:rPr>
          <w:rFonts w:ascii="Arial" w:hAnsi="Arial" w:cs="Arial"/>
          <w:lang w:eastAsia="da-DK"/>
        </w:rPr>
        <w:t xml:space="preserve">eller ELF måling </w:t>
      </w:r>
      <w:r w:rsidRPr="00EB49C0">
        <w:rPr>
          <w:rFonts w:ascii="Arial" w:hAnsi="Arial" w:cs="Arial"/>
          <w:lang w:eastAsia="da-DK"/>
        </w:rPr>
        <w:t xml:space="preserve">diskuteres med </w:t>
      </w:r>
      <w:proofErr w:type="spellStart"/>
      <w:r w:rsidRPr="00EB49C0">
        <w:rPr>
          <w:rFonts w:ascii="Arial" w:hAnsi="Arial" w:cs="Arial"/>
          <w:lang w:eastAsia="da-DK"/>
        </w:rPr>
        <w:t>gastroenterolog</w:t>
      </w:r>
      <w:proofErr w:type="spellEnd"/>
      <w:r w:rsidRPr="00EB49C0">
        <w:rPr>
          <w:rFonts w:ascii="Arial" w:hAnsi="Arial" w:cs="Arial"/>
          <w:lang w:eastAsia="da-DK"/>
        </w:rPr>
        <w:t>/</w:t>
      </w:r>
      <w:proofErr w:type="spellStart"/>
      <w:r w:rsidRPr="00EB49C0">
        <w:rPr>
          <w:rFonts w:ascii="Arial" w:hAnsi="Arial" w:cs="Arial"/>
          <w:lang w:eastAsia="da-DK"/>
        </w:rPr>
        <w:t>hepatolog</w:t>
      </w:r>
      <w:proofErr w:type="spellEnd"/>
      <w:r w:rsidR="001E3B8D">
        <w:rPr>
          <w:rFonts w:ascii="Arial" w:hAnsi="Arial" w:cs="Arial"/>
          <w:lang w:eastAsia="da-DK"/>
        </w:rPr>
        <w:t xml:space="preserve"> om behov for leverbiopsi eller stop af behandling</w:t>
      </w:r>
      <w:r w:rsidRPr="00EB49C0">
        <w:rPr>
          <w:rFonts w:ascii="Arial" w:hAnsi="Arial" w:cs="Arial"/>
          <w:lang w:eastAsia="da-DK"/>
        </w:rPr>
        <w:t>.</w:t>
      </w:r>
    </w:p>
    <w:p w14:paraId="32FEBF8D" w14:textId="2DCE0845" w:rsidR="00EB49C0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Konsekvens af </w:t>
      </w:r>
      <w:r w:rsidR="001477A4" w:rsidRPr="00AC3D01">
        <w:rPr>
          <w:rFonts w:ascii="Arial" w:eastAsia="Times New Roman" w:hAnsi="Arial" w:cs="Arial"/>
          <w:b/>
          <w:bCs/>
          <w:color w:val="222222"/>
          <w:lang w:eastAsia="da-DK"/>
        </w:rPr>
        <w:t>ALAT-kontroller</w:t>
      </w: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 over øvre normalgrænse:</w:t>
      </w:r>
      <w:r w:rsidR="00DE5C08"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 </w:t>
      </w:r>
    </w:p>
    <w:p w14:paraId="56987CDC" w14:textId="77777777" w:rsidR="00EB49C0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2 x øvre normal grænse: gentagne blodprøver om 1-2 uger. </w:t>
      </w:r>
    </w:p>
    <w:p w14:paraId="4C58655A" w14:textId="61ECDAF3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Ofte kan methotrexat dosering fortsættes mens svar på blodprøver afventes. Tænk på hvornår kontrolblodprøver er t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>aget i forhold til indtag af methotrexat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>.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Overvej at skifte til subkutan administration ved vedvarende forhøjede leverparametre.</w:t>
      </w:r>
    </w:p>
    <w:p w14:paraId="76350908" w14:textId="6518890E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proofErr w:type="spellStart"/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Myelosuppression</w:t>
      </w:r>
      <w:proofErr w:type="spellEnd"/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: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 xml:space="preserve">Ved </w:t>
      </w:r>
      <w:r w:rsidR="00CD2054">
        <w:rPr>
          <w:rFonts w:ascii="Arial" w:eastAsia="Times New Roman" w:hAnsi="Arial" w:cs="Arial"/>
          <w:color w:val="222222"/>
          <w:lang w:eastAsia="da-DK"/>
        </w:rPr>
        <w:t xml:space="preserve">fald i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leukocyttal </w:t>
      </w:r>
      <w:r w:rsidR="00EB49C0">
        <w:rPr>
          <w:rFonts w:ascii="Arial" w:eastAsia="Times New Roman" w:hAnsi="Arial" w:cs="Arial"/>
          <w:color w:val="222222"/>
          <w:lang w:eastAsia="da-DK"/>
        </w:rPr>
        <w:t>(</w:t>
      </w:r>
      <w:r w:rsidRPr="00AC3D01">
        <w:rPr>
          <w:rFonts w:ascii="Arial" w:eastAsia="Times New Roman" w:hAnsi="Arial" w:cs="Arial"/>
          <w:color w:val="222222"/>
          <w:lang w:eastAsia="da-DK"/>
        </w:rPr>
        <w:t>NB! Total-granulocyttal) eller 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trombocyttal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EB49C0">
        <w:rPr>
          <w:rFonts w:ascii="Arial" w:eastAsia="Times New Roman" w:hAnsi="Arial" w:cs="Arial"/>
          <w:color w:val="222222"/>
          <w:lang w:eastAsia="da-DK"/>
        </w:rPr>
        <w:t>efter opstart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E03DFB">
        <w:rPr>
          <w:rFonts w:ascii="Arial" w:eastAsia="Times New Roman" w:hAnsi="Arial" w:cs="Arial"/>
          <w:color w:val="222222"/>
          <w:lang w:eastAsia="da-DK"/>
        </w:rPr>
        <w:t xml:space="preserve">overvejes 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>pause med methotrexat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indtil 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 xml:space="preserve">værdierne er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normaliseret. Herefter genoptages 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 xml:space="preserve">behandlingen,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evt. 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 xml:space="preserve">i </w:t>
      </w:r>
      <w:r w:rsidRPr="00AC3D01">
        <w:rPr>
          <w:rFonts w:ascii="Arial" w:eastAsia="Times New Roman" w:hAnsi="Arial" w:cs="Arial"/>
          <w:color w:val="222222"/>
          <w:lang w:eastAsia="da-DK"/>
        </w:rPr>
        <w:t>lavere dosering.</w:t>
      </w:r>
    </w:p>
    <w:p w14:paraId="6BA861DA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Anæmi:</w:t>
      </w:r>
      <w:r w:rsidRPr="00AC3D01">
        <w:rPr>
          <w:rFonts w:ascii="Arial" w:eastAsia="Times New Roman" w:hAnsi="Arial" w:cs="Arial"/>
          <w:color w:val="222222"/>
          <w:lang w:eastAsia="da-DK"/>
        </w:rPr>
        <w:t>  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 xml:space="preserve">OBS!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Gastrointestinal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blødning. Ved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megaloblastose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+/- anæmi kontrolleres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erytrocytfolat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+ se-B</w:t>
      </w:r>
      <w:r w:rsidRPr="00AC3D01">
        <w:rPr>
          <w:rFonts w:ascii="Arial" w:eastAsia="Times New Roman" w:hAnsi="Arial" w:cs="Arial"/>
          <w:color w:val="222222"/>
          <w:vertAlign w:val="subscript"/>
          <w:lang w:eastAsia="da-DK"/>
        </w:rPr>
        <w:t>12</w:t>
      </w:r>
      <w:r w:rsidRPr="00AC3D01">
        <w:rPr>
          <w:rFonts w:ascii="Arial" w:eastAsia="Times New Roman" w:hAnsi="Arial" w:cs="Arial"/>
          <w:color w:val="222222"/>
          <w:lang w:eastAsia="da-DK"/>
        </w:rPr>
        <w:t>, og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 xml:space="preserve"> der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giv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>es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 1-5 mg.</w:t>
      </w:r>
    </w:p>
    <w:p w14:paraId="35BEE268" w14:textId="541FFA69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Kvalme m.v.:</w:t>
      </w:r>
      <w:r w:rsidRPr="00AC3D01">
        <w:rPr>
          <w:rFonts w:ascii="Arial" w:eastAsia="Times New Roman" w:hAnsi="Arial" w:cs="Arial"/>
          <w:color w:val="222222"/>
          <w:lang w:eastAsia="da-DK"/>
        </w:rPr>
        <w:t> </w:t>
      </w:r>
      <w:proofErr w:type="spellStart"/>
      <w:r w:rsidR="00AA1B63">
        <w:rPr>
          <w:rFonts w:ascii="Arial" w:eastAsia="Times New Roman" w:hAnsi="Arial" w:cs="Arial"/>
          <w:color w:val="222222"/>
          <w:lang w:eastAsia="da-DK"/>
        </w:rPr>
        <w:t>M</w:t>
      </w:r>
      <w:r w:rsidR="00AA1B63" w:rsidRPr="005C036E">
        <w:rPr>
          <w:rFonts w:ascii="Arial" w:eastAsia="Times New Roman" w:hAnsi="Arial" w:cs="Arial"/>
          <w:color w:val="222222"/>
          <w:lang w:eastAsia="da-DK"/>
        </w:rPr>
        <w:t>etoclopramid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folinsyretilskud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1-5 mg, f.e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>ks. givet 24 og 48 timer efter m</w:t>
      </w:r>
      <w:r w:rsidRPr="00AC3D01">
        <w:rPr>
          <w:rFonts w:ascii="Arial" w:eastAsia="Times New Roman" w:hAnsi="Arial" w:cs="Arial"/>
          <w:color w:val="222222"/>
          <w:lang w:eastAsia="da-DK"/>
        </w:rPr>
        <w:t>ethotrexat. Evt. kan man opfordre patienten til at tage methotrexat sammen med et måltid</w:t>
      </w:r>
      <w:r w:rsidR="00E03DFB">
        <w:rPr>
          <w:rFonts w:ascii="Arial" w:eastAsia="Times New Roman" w:hAnsi="Arial" w:cs="Arial"/>
          <w:color w:val="222222"/>
          <w:lang w:eastAsia="da-DK"/>
        </w:rPr>
        <w:t xml:space="preserve"> eller</w:t>
      </w:r>
      <w:r w:rsidR="00C02C05">
        <w:rPr>
          <w:rFonts w:ascii="Arial" w:eastAsia="Times New Roman" w:hAnsi="Arial" w:cs="Arial"/>
          <w:color w:val="222222"/>
          <w:lang w:eastAsia="da-DK"/>
        </w:rPr>
        <w:t xml:space="preserve"> f</w:t>
      </w:r>
      <w:r w:rsidRPr="00AC3D01">
        <w:rPr>
          <w:rFonts w:ascii="Arial" w:eastAsia="Times New Roman" w:hAnsi="Arial" w:cs="Arial"/>
          <w:color w:val="222222"/>
          <w:lang w:eastAsia="da-DK"/>
        </w:rPr>
        <w:t>orsøge subkutan administration i samme dosis.</w:t>
      </w:r>
    </w:p>
    <w:p w14:paraId="77006D25" w14:textId="3D294FCE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Antidot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b/>
          <w:color w:val="222222"/>
          <w:lang w:eastAsia="da-DK"/>
        </w:rPr>
        <w:t>ved forgiftning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: </w:t>
      </w:r>
      <w:proofErr w:type="spellStart"/>
      <w:r w:rsidR="00705CFE">
        <w:rPr>
          <w:rFonts w:ascii="Arial" w:eastAsia="Times New Roman" w:hAnsi="Arial" w:cs="Arial"/>
          <w:color w:val="222222"/>
          <w:lang w:eastAsia="da-DK"/>
        </w:rPr>
        <w:t>Calciumfolinat</w:t>
      </w:r>
      <w:proofErr w:type="spellEnd"/>
      <w:r w:rsidR="00705CFE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i.m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. se Medicinfortegnelse.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 xml:space="preserve"> Mål evt. serum methotrexat.</w:t>
      </w:r>
    </w:p>
    <w:p w14:paraId="66681B93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</w:p>
    <w:p w14:paraId="3E45E76F" w14:textId="77777777" w:rsidR="00EB49C0" w:rsidRDefault="00EB49C0" w:rsidP="00AC3D01">
      <w:pPr>
        <w:rPr>
          <w:rFonts w:ascii="Arial" w:eastAsia="Times New Roman" w:hAnsi="Arial" w:cs="Arial"/>
          <w:b/>
          <w:color w:val="222222"/>
          <w:lang w:eastAsia="da-DK"/>
        </w:rPr>
      </w:pPr>
    </w:p>
    <w:p w14:paraId="4BBF678F" w14:textId="77777777" w:rsidR="00EB49C0" w:rsidRDefault="00EB49C0" w:rsidP="00AC3D01">
      <w:pPr>
        <w:rPr>
          <w:rFonts w:ascii="Arial" w:eastAsia="Times New Roman" w:hAnsi="Arial" w:cs="Arial"/>
          <w:b/>
          <w:color w:val="222222"/>
          <w:lang w:eastAsia="da-DK"/>
        </w:rPr>
      </w:pPr>
    </w:p>
    <w:p w14:paraId="1F8C913F" w14:textId="77777777" w:rsidR="00EB49C0" w:rsidRDefault="00EB49C0">
      <w:pPr>
        <w:rPr>
          <w:rFonts w:ascii="Arial" w:eastAsia="Times New Roman" w:hAnsi="Arial" w:cs="Arial"/>
          <w:b/>
          <w:color w:val="222222"/>
          <w:lang w:eastAsia="da-DK"/>
        </w:rPr>
      </w:pPr>
      <w:r>
        <w:rPr>
          <w:rFonts w:ascii="Arial" w:eastAsia="Times New Roman" w:hAnsi="Arial" w:cs="Arial"/>
          <w:b/>
          <w:color w:val="222222"/>
          <w:lang w:eastAsia="da-DK"/>
        </w:rPr>
        <w:br w:type="page"/>
      </w:r>
    </w:p>
    <w:p w14:paraId="2D8D78CC" w14:textId="20A9A001" w:rsidR="00094BD0" w:rsidRDefault="00094BD0" w:rsidP="00AC3D01">
      <w:pPr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color w:val="222222"/>
          <w:lang w:eastAsia="da-DK"/>
        </w:rPr>
        <w:lastRenderedPageBreak/>
        <w:t xml:space="preserve">Figur 1 </w:t>
      </w:r>
      <w:r w:rsidR="00B91CB5">
        <w:rPr>
          <w:rFonts w:ascii="Arial" w:eastAsia="Times New Roman" w:hAnsi="Arial" w:cs="Arial"/>
          <w:b/>
          <w:color w:val="222222"/>
          <w:lang w:eastAsia="da-DK"/>
        </w:rPr>
        <w:t>Opdateret</w:t>
      </w:r>
      <w:r w:rsidR="001E3B8D">
        <w:rPr>
          <w:rFonts w:ascii="Arial" w:eastAsia="Times New Roman" w:hAnsi="Arial" w:cs="Arial"/>
          <w:b/>
          <w:color w:val="222222"/>
          <w:lang w:eastAsia="da-DK"/>
        </w:rPr>
        <w:t xml:space="preserve"> ud fra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Acta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Derm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Venereol. </w:t>
      </w:r>
      <w:proofErr w:type="gramStart"/>
      <w:r w:rsidRPr="00AC3D01">
        <w:rPr>
          <w:rFonts w:ascii="Arial" w:eastAsia="Times New Roman" w:hAnsi="Arial" w:cs="Arial"/>
          <w:color w:val="222222"/>
          <w:lang w:eastAsia="da-DK"/>
        </w:rPr>
        <w:t>2017;97:426</w:t>
      </w:r>
      <w:proofErr w:type="gramEnd"/>
      <w:r w:rsidRPr="00AC3D01">
        <w:rPr>
          <w:rFonts w:ascii="Arial" w:eastAsia="Times New Roman" w:hAnsi="Arial" w:cs="Arial"/>
          <w:color w:val="222222"/>
          <w:lang w:eastAsia="da-DK"/>
        </w:rPr>
        <w:t>-432</w:t>
      </w:r>
      <w:r w:rsidR="00AC131A">
        <w:rPr>
          <w:rFonts w:ascii="Arial" w:eastAsia="Times New Roman" w:hAnsi="Arial" w:cs="Arial"/>
          <w:color w:val="222222"/>
          <w:lang w:eastAsia="da-DK"/>
        </w:rPr>
        <w:t xml:space="preserve"> + </w:t>
      </w:r>
      <w:proofErr w:type="spellStart"/>
      <w:r w:rsidR="00AC131A">
        <w:rPr>
          <w:rFonts w:ascii="Arial" w:eastAsia="Times New Roman" w:hAnsi="Arial" w:cs="Arial"/>
          <w:color w:val="222222"/>
          <w:lang w:eastAsia="da-DK"/>
        </w:rPr>
        <w:t>UfL</w:t>
      </w:r>
      <w:proofErr w:type="spellEnd"/>
      <w:r w:rsidR="00AC131A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314BD7">
        <w:rPr>
          <w:rFonts w:ascii="Arial" w:eastAsia="Times New Roman" w:hAnsi="Arial" w:cs="Arial"/>
          <w:color w:val="222222"/>
          <w:lang w:eastAsia="da-DK"/>
        </w:rPr>
        <w:t>2024;186:</w:t>
      </w:r>
      <w:r w:rsidR="00701B67">
        <w:rPr>
          <w:rFonts w:ascii="Arial" w:eastAsia="Times New Roman" w:hAnsi="Arial" w:cs="Arial"/>
          <w:color w:val="222222"/>
          <w:lang w:eastAsia="da-DK"/>
        </w:rPr>
        <w:t>V122</w:t>
      </w:r>
      <w:r w:rsidR="00132362">
        <w:rPr>
          <w:rFonts w:ascii="Arial" w:eastAsia="Times New Roman" w:hAnsi="Arial" w:cs="Arial"/>
          <w:color w:val="222222"/>
          <w:lang w:eastAsia="da-DK"/>
        </w:rPr>
        <w:t>30778</w:t>
      </w:r>
      <w:r w:rsidRPr="00AC3D01">
        <w:rPr>
          <w:rFonts w:ascii="Arial" w:eastAsia="Times New Roman" w:hAnsi="Arial" w:cs="Arial"/>
          <w:color w:val="222222"/>
          <w:lang w:eastAsia="da-DK"/>
        </w:rPr>
        <w:t>. </w:t>
      </w:r>
    </w:p>
    <w:p w14:paraId="72160214" w14:textId="28ABABF0" w:rsidR="00BF0D91" w:rsidRPr="00AC3D01" w:rsidRDefault="002802C5" w:rsidP="00AC3D01">
      <w:pPr>
        <w:rPr>
          <w:rFonts w:ascii="Arial" w:eastAsia="Times New Roman" w:hAnsi="Arial" w:cs="Arial"/>
          <w:color w:val="222222"/>
          <w:lang w:eastAsia="da-DK"/>
        </w:rPr>
      </w:pPr>
      <w:r w:rsidRPr="002802C5">
        <w:rPr>
          <w:rFonts w:ascii="Arial" w:eastAsia="Times New Roman" w:hAnsi="Arial" w:cs="Arial"/>
          <w:noProof/>
          <w:color w:val="222222"/>
          <w:lang w:eastAsia="da-DK"/>
        </w:rPr>
        <w:drawing>
          <wp:inline distT="0" distB="0" distL="0" distR="0" wp14:anchorId="5CEFE875" wp14:editId="0A1A6938">
            <wp:extent cx="6645910" cy="4319905"/>
            <wp:effectExtent l="0" t="0" r="2540" b="4445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FF0B2" w14:textId="41099B97" w:rsidR="00F22741" w:rsidRPr="00AC3D01" w:rsidRDefault="00F22741" w:rsidP="009439A4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b/>
          <w:color w:val="222222"/>
          <w:lang w:eastAsia="da-DK"/>
        </w:rPr>
      </w:pPr>
    </w:p>
    <w:p w14:paraId="26A19430" w14:textId="3F86198F" w:rsidR="00F22741" w:rsidRPr="00AC3D01" w:rsidRDefault="00F22741" w:rsidP="009439A4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222222"/>
          <w:lang w:eastAsia="da-DK"/>
        </w:rPr>
      </w:pPr>
    </w:p>
    <w:p w14:paraId="487D7DA2" w14:textId="563904E4" w:rsidR="00AC3D01" w:rsidRPr="00AC3D01" w:rsidRDefault="008B1753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i/>
          <w:color w:val="222222"/>
          <w:lang w:eastAsia="da-DK"/>
        </w:rPr>
      </w:pPr>
      <w:r w:rsidRPr="00AC3D01">
        <w:rPr>
          <w:rFonts w:ascii="Times New Roman" w:eastAsia="Times New Roman" w:hAnsi="Times New Roman" w:cs="Times New Roman"/>
          <w:color w:val="222222"/>
          <w:lang w:eastAsia="da-DK"/>
        </w:rPr>
        <w:t> </w:t>
      </w:r>
      <w:r w:rsidR="00AC3D01" w:rsidRPr="00AC3D01">
        <w:rPr>
          <w:rFonts w:ascii="Arial" w:eastAsia="Times New Roman" w:hAnsi="Arial" w:cs="Arial"/>
          <w:i/>
          <w:color w:val="222222"/>
          <w:lang w:eastAsia="da-DK"/>
        </w:rPr>
        <w:t>Dette er</w:t>
      </w:r>
      <w:r w:rsidR="00E03DFB">
        <w:rPr>
          <w:rFonts w:ascii="Arial" w:eastAsia="Times New Roman" w:hAnsi="Arial" w:cs="Arial"/>
          <w:i/>
          <w:color w:val="222222"/>
          <w:lang w:eastAsia="da-DK"/>
        </w:rPr>
        <w:t xml:space="preserve"> en</w:t>
      </w:r>
      <w:r w:rsidR="00AC3D01" w:rsidRPr="00AC3D01">
        <w:rPr>
          <w:rFonts w:ascii="Arial" w:eastAsia="Times New Roman" w:hAnsi="Arial" w:cs="Arial"/>
          <w:i/>
          <w:color w:val="222222"/>
          <w:lang w:eastAsia="da-DK"/>
        </w:rPr>
        <w:t xml:space="preserve"> praktisk vejledning til daglig brug</w:t>
      </w:r>
      <w:r w:rsidR="00E03DFB">
        <w:rPr>
          <w:rFonts w:ascii="Arial" w:eastAsia="Times New Roman" w:hAnsi="Arial" w:cs="Arial"/>
          <w:i/>
          <w:color w:val="222222"/>
          <w:lang w:eastAsia="da-DK"/>
        </w:rPr>
        <w:t>.</w:t>
      </w:r>
      <w:r w:rsidR="00AC3D01" w:rsidRPr="00AC3D01">
        <w:rPr>
          <w:rFonts w:ascii="Arial" w:eastAsia="Times New Roman" w:hAnsi="Arial" w:cs="Arial"/>
          <w:i/>
          <w:color w:val="222222"/>
          <w:lang w:eastAsia="da-DK"/>
        </w:rPr>
        <w:t xml:space="preserve"> </w:t>
      </w:r>
      <w:r w:rsidR="00E03DFB">
        <w:rPr>
          <w:rFonts w:ascii="Arial" w:eastAsia="Times New Roman" w:hAnsi="Arial" w:cs="Arial"/>
          <w:i/>
          <w:color w:val="222222"/>
          <w:lang w:eastAsia="da-DK"/>
        </w:rPr>
        <w:t>V</w:t>
      </w:r>
      <w:r w:rsidR="00AC3D01" w:rsidRPr="00AC3D01">
        <w:rPr>
          <w:rFonts w:ascii="Arial" w:eastAsia="Times New Roman" w:hAnsi="Arial" w:cs="Arial"/>
          <w:i/>
          <w:color w:val="222222"/>
          <w:lang w:eastAsia="da-DK"/>
        </w:rPr>
        <w:t>ed yderlig information specielt i forhold til bivirkninger henvises til produktresume.</w:t>
      </w:r>
    </w:p>
    <w:p w14:paraId="4D3CBC96" w14:textId="7371D01C" w:rsidR="00AC3D01" w:rsidRPr="00AC3D01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color w:val="222222"/>
          <w:sz w:val="16"/>
          <w:szCs w:val="16"/>
          <w:lang w:eastAsia="da-DK"/>
        </w:rPr>
      </w:pPr>
      <w:r w:rsidRPr="00AC3D01">
        <w:rPr>
          <w:rFonts w:ascii="Arial" w:eastAsia="Times New Roman" w:hAnsi="Arial" w:cs="Arial"/>
          <w:b/>
          <w:color w:val="222222"/>
          <w:sz w:val="16"/>
          <w:szCs w:val="16"/>
          <w:lang w:eastAsia="da-DK"/>
        </w:rPr>
        <w:t>Kilder:</w:t>
      </w:r>
    </w:p>
    <w:p w14:paraId="2E1B9385" w14:textId="77777777" w:rsidR="00AC3D01" w:rsidRPr="00F66381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eastAsia="da-DK"/>
          <w:rPrChange w:id="3" w:author="Lone Skov" w:date="2024-11-03T21:11:00Z">
            <w:rPr>
              <w:rFonts w:ascii="Arial" w:eastAsia="Times New Roman" w:hAnsi="Arial" w:cs="Arial"/>
              <w:color w:val="222222"/>
              <w:sz w:val="16"/>
              <w:szCs w:val="16"/>
              <w:lang w:val="en-US" w:eastAsia="da-DK"/>
            </w:rPr>
          </w:rPrChange>
        </w:rPr>
      </w:pPr>
      <w:r>
        <w:fldChar w:fldCharType="begin"/>
      </w:r>
      <w:r w:rsidRPr="00F66381">
        <w:rPr>
          <w:rPrChange w:id="4" w:author="Lone Skov" w:date="2024-11-03T21:11:00Z">
            <w:rPr>
              <w:lang w:val="en-US"/>
            </w:rPr>
          </w:rPrChange>
        </w:rPr>
        <w:instrText>HYPERLINK "https://www.medicin.dk/"</w:instrText>
      </w:r>
      <w:r>
        <w:fldChar w:fldCharType="separate"/>
      </w:r>
      <w:r w:rsidRPr="00F66381">
        <w:rPr>
          <w:rFonts w:ascii="Arial" w:eastAsia="Times New Roman" w:hAnsi="Arial" w:cs="Arial"/>
          <w:color w:val="0000FF"/>
          <w:sz w:val="16"/>
          <w:szCs w:val="16"/>
          <w:u w:val="single"/>
          <w:lang w:eastAsia="da-DK"/>
          <w:rPrChange w:id="5" w:author="Lone Skov" w:date="2024-11-03T21:11:00Z">
            <w:rPr>
              <w:rFonts w:ascii="Arial" w:eastAsia="Times New Roman" w:hAnsi="Arial" w:cs="Arial"/>
              <w:color w:val="0000FF"/>
              <w:sz w:val="16"/>
              <w:szCs w:val="16"/>
              <w:u w:val="single"/>
              <w:lang w:val="en-US" w:eastAsia="da-DK"/>
            </w:rPr>
          </w:rPrChange>
        </w:rPr>
        <w:t>https://www.medicin.dk/</w:t>
      </w:r>
      <w:r>
        <w:rPr>
          <w:rFonts w:ascii="Arial" w:eastAsia="Times New Roman" w:hAnsi="Arial" w:cs="Arial"/>
          <w:color w:val="0000FF"/>
          <w:sz w:val="16"/>
          <w:szCs w:val="16"/>
          <w:u w:val="single"/>
          <w:lang w:eastAsia="da-DK"/>
        </w:rPr>
        <w:fldChar w:fldCharType="end"/>
      </w:r>
    </w:p>
    <w:p w14:paraId="72F724AA" w14:textId="77777777" w:rsidR="00AC3D01" w:rsidRPr="001B583F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</w:pPr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Roenigk HH Jr, Auerbach R, Maibach H, Weinstein G, Lebwohl M. Methotrexate in psoriasis: consensus conference. J Am </w:t>
      </w:r>
      <w:proofErr w:type="spellStart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Acad</w:t>
      </w:r>
      <w:proofErr w:type="spellEnd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 Dermatol. </w:t>
      </w:r>
      <w:proofErr w:type="gramStart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1998;38:478</w:t>
      </w:r>
      <w:proofErr w:type="gramEnd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-85.</w:t>
      </w:r>
    </w:p>
    <w:p w14:paraId="0E467550" w14:textId="77777777" w:rsidR="00AC3D01" w:rsidRPr="00B74204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eastAsia="da-DK"/>
        </w:rPr>
      </w:pPr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Raaby L, Zachariae C, </w:t>
      </w:r>
      <w:proofErr w:type="spellStart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Østensen</w:t>
      </w:r>
      <w:proofErr w:type="spellEnd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 M, </w:t>
      </w:r>
      <w:proofErr w:type="spellStart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Heickendorff</w:t>
      </w:r>
      <w:proofErr w:type="spellEnd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 L, Thielsen P, Grønbæk H, Skov L, Kyvsgaard N, Madsen JT, Heidenheim M, Funding AT, Strauss G, Lindberg R, Iversen L. Methotrexate Use and Monitoring in Patients with Psoriasis: A Consensus Report Based on a Danish Expert Meeting. </w:t>
      </w:r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Acta </w:t>
      </w: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Derm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Venereol. </w:t>
      </w:r>
      <w:proofErr w:type="gram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2017;97:426</w:t>
      </w:r>
      <w:proofErr w:type="gram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-432. </w:t>
      </w:r>
    </w:p>
    <w:p w14:paraId="400F3296" w14:textId="77777777" w:rsidR="00AC3D01" w:rsidRPr="00841A5D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eastAsia="da-DK"/>
        </w:rPr>
      </w:pP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Menting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SP, </w:t>
      </w: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Dekker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PM, </w:t>
      </w: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Limpens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J, </w:t>
      </w: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Hooft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L, Spuls PI. </w:t>
      </w:r>
      <w:r w:rsidRPr="00AC3D01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Methotrexate Dosing Regimen for Plaque-type Psoriasis: A Systematic Review of the Use of Test-dose, Start-dose, Dosing Scheme, Dose Adjustments, Maximum Dose and Folic Acid Supplementation. </w:t>
      </w:r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Acta </w:t>
      </w:r>
      <w:proofErr w:type="spellStart"/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Derm</w:t>
      </w:r>
      <w:proofErr w:type="spellEnd"/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Venereol. </w:t>
      </w:r>
      <w:proofErr w:type="gramStart"/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2016;96:23</w:t>
      </w:r>
      <w:proofErr w:type="gramEnd"/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-8.</w:t>
      </w:r>
    </w:p>
    <w:p w14:paraId="22148AFF" w14:textId="5645EED4" w:rsidR="00AC3D01" w:rsidRPr="00841A5D" w:rsidRDefault="009A4364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eastAsia="da-DK"/>
        </w:rPr>
      </w:pPr>
      <w:r w:rsidRPr="00841A5D">
        <w:rPr>
          <w:rFonts w:ascii="Arial" w:hAnsi="Arial" w:cs="Arial"/>
          <w:sz w:val="16"/>
          <w:szCs w:val="16"/>
        </w:rPr>
        <w:t xml:space="preserve">Styrelsen for Patientsikkerhed. </w:t>
      </w:r>
      <w:hyperlink r:id="rId9" w:history="1">
        <w:r w:rsidRPr="00841A5D">
          <w:rPr>
            <w:rStyle w:val="Hyperlink"/>
            <w:rFonts w:ascii="Arial" w:hAnsi="Arial" w:cs="Arial"/>
            <w:sz w:val="16"/>
            <w:szCs w:val="16"/>
          </w:rPr>
          <w:t>Lavdosis methotrexat</w:t>
        </w:r>
        <w:r w:rsidR="00841A5D" w:rsidRPr="00841A5D">
          <w:rPr>
            <w:rStyle w:val="Hyperlink"/>
            <w:rFonts w:ascii="Arial" w:hAnsi="Arial" w:cs="Arial"/>
            <w:sz w:val="16"/>
            <w:szCs w:val="16"/>
          </w:rPr>
          <w:t>. Tilgængelig på:</w:t>
        </w:r>
        <w:r w:rsidRPr="00841A5D">
          <w:rPr>
            <w:rStyle w:val="Hyperlink"/>
            <w:rFonts w:ascii="Arial" w:hAnsi="Arial" w:cs="Arial"/>
            <w:sz w:val="16"/>
            <w:szCs w:val="16"/>
          </w:rPr>
          <w:t xml:space="preserve"> | Styrelsen for Patientsikkerhed (stps.dk)</w:t>
        </w:r>
      </w:hyperlink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</w:t>
      </w:r>
      <w:r w:rsidR="00841A5D"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(sidst tilgået 20 november 2023).</w:t>
      </w:r>
    </w:p>
    <w:p w14:paraId="73CFA33C" w14:textId="7679213F" w:rsidR="00A04B0C" w:rsidRPr="007F350B" w:rsidRDefault="007F350B" w:rsidP="00DE5C08">
      <w:pPr>
        <w:spacing w:line="240" w:lineRule="auto"/>
        <w:rPr>
          <w:rFonts w:ascii="Arial" w:hAnsi="Arial" w:cs="Arial"/>
          <w:color w:val="212121"/>
          <w:sz w:val="16"/>
          <w:szCs w:val="16"/>
          <w:shd w:val="clear" w:color="auto" w:fill="FFFFFF"/>
        </w:rPr>
      </w:pPr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Hansen CD, Lindvig KP, Grønbæk H, Gluud LL, Thiele M, Krag A. Management of non-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alcoholic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fatty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 liver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disease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.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Ugeskr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Laeger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. 2022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Oct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 17;184(42):V04220239. </w:t>
      </w:r>
    </w:p>
    <w:p w14:paraId="1FFD5285" w14:textId="4CF73BA2" w:rsidR="007F350B" w:rsidRDefault="007F350B" w:rsidP="00DE5C08">
      <w:pPr>
        <w:spacing w:line="240" w:lineRule="auto"/>
        <w:rPr>
          <w:rFonts w:ascii="Arial" w:hAnsi="Arial" w:cs="Arial"/>
          <w:sz w:val="16"/>
          <w:szCs w:val="16"/>
          <w:lang w:val="en-US"/>
        </w:rPr>
      </w:pPr>
      <w:proofErr w:type="spellStart"/>
      <w:r w:rsidRPr="007F350B">
        <w:rPr>
          <w:rFonts w:ascii="Arial" w:hAnsi="Arial" w:cs="Arial"/>
          <w:sz w:val="16"/>
          <w:szCs w:val="16"/>
        </w:rPr>
        <w:t>Kjaergaard</w:t>
      </w:r>
      <w:proofErr w:type="spellEnd"/>
      <w:r w:rsidRPr="007F350B">
        <w:rPr>
          <w:rFonts w:ascii="Arial" w:hAnsi="Arial" w:cs="Arial"/>
          <w:sz w:val="16"/>
          <w:szCs w:val="16"/>
        </w:rPr>
        <w:t xml:space="preserve"> M, Lindvig KP, Thorhauge KH, Andersen P, Hansen JK, Kastrup N, et al. </w:t>
      </w:r>
      <w:r w:rsidRPr="007F350B">
        <w:rPr>
          <w:rFonts w:ascii="Arial" w:hAnsi="Arial" w:cs="Arial"/>
          <w:sz w:val="16"/>
          <w:szCs w:val="16"/>
          <w:lang w:val="en-US"/>
        </w:rPr>
        <w:t>Using the ELF test, FIB-4 and NAFLD fibrosis score to screen the population for liver disease. J Hepatol. 2023 Aug;79(2):277-286.</w:t>
      </w:r>
    </w:p>
    <w:p w14:paraId="574F5EAA" w14:textId="1D023466" w:rsidR="00A755C7" w:rsidRPr="00DE4000" w:rsidRDefault="00A755C7" w:rsidP="00DE5C08">
      <w:pPr>
        <w:spacing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Hansen CD et al. </w:t>
      </w:r>
      <w:proofErr w:type="spellStart"/>
      <w:r w:rsidRPr="00A755C7">
        <w:rPr>
          <w:rFonts w:ascii="Arial" w:hAnsi="Arial" w:cs="Arial"/>
          <w:sz w:val="16"/>
          <w:szCs w:val="16"/>
          <w:lang w:val="en-US"/>
        </w:rPr>
        <w:t>UfL</w:t>
      </w:r>
      <w:proofErr w:type="spellEnd"/>
      <w:r w:rsidRPr="00A755C7">
        <w:rPr>
          <w:rFonts w:ascii="Arial" w:hAnsi="Arial" w:cs="Arial"/>
          <w:sz w:val="16"/>
          <w:szCs w:val="16"/>
          <w:lang w:val="en-US"/>
        </w:rPr>
        <w:t xml:space="preserve"> 2024;</w:t>
      </w:r>
      <w:proofErr w:type="gramStart"/>
      <w:r w:rsidRPr="00A755C7">
        <w:rPr>
          <w:rFonts w:ascii="Arial" w:hAnsi="Arial" w:cs="Arial"/>
          <w:sz w:val="16"/>
          <w:szCs w:val="16"/>
          <w:lang w:val="en-US"/>
        </w:rPr>
        <w:t>186:V</w:t>
      </w:r>
      <w:proofErr w:type="gramEnd"/>
      <w:r w:rsidRPr="00A755C7">
        <w:rPr>
          <w:rFonts w:ascii="Arial" w:hAnsi="Arial" w:cs="Arial"/>
          <w:sz w:val="16"/>
          <w:szCs w:val="16"/>
          <w:lang w:val="en-US"/>
        </w:rPr>
        <w:t>12230778</w:t>
      </w:r>
    </w:p>
    <w:p w14:paraId="486F8095" w14:textId="77777777" w:rsidR="00841A5D" w:rsidRPr="00841A5D" w:rsidRDefault="00841A5D" w:rsidP="00DE5C08">
      <w:pPr>
        <w:spacing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sectPr w:rsidR="00841A5D" w:rsidRPr="00841A5D" w:rsidSect="00AC3D01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9566B" w14:textId="77777777" w:rsidR="003843F2" w:rsidRDefault="003843F2" w:rsidP="00F22741">
      <w:pPr>
        <w:spacing w:after="0" w:line="240" w:lineRule="auto"/>
      </w:pPr>
      <w:r>
        <w:separator/>
      </w:r>
    </w:p>
  </w:endnote>
  <w:endnote w:type="continuationSeparator" w:id="0">
    <w:p w14:paraId="5F920DD4" w14:textId="77777777" w:rsidR="003843F2" w:rsidRDefault="003843F2" w:rsidP="00F22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5892438"/>
      <w:docPartObj>
        <w:docPartGallery w:val="Page Numbers (Bottom of Page)"/>
        <w:docPartUnique/>
      </w:docPartObj>
    </w:sdtPr>
    <w:sdtEndPr/>
    <w:sdtContent>
      <w:p w14:paraId="5984A78A" w14:textId="6904A6E2" w:rsidR="00F22741" w:rsidRDefault="00F22741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FAE">
          <w:rPr>
            <w:noProof/>
          </w:rPr>
          <w:t>6</w:t>
        </w:r>
        <w:r>
          <w:fldChar w:fldCharType="end"/>
        </w:r>
      </w:p>
    </w:sdtContent>
  </w:sdt>
  <w:p w14:paraId="511C4F25" w14:textId="77777777" w:rsidR="00F22741" w:rsidRDefault="00F2274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8A51" w14:textId="77777777" w:rsidR="003843F2" w:rsidRDefault="003843F2" w:rsidP="00F22741">
      <w:pPr>
        <w:spacing w:after="0" w:line="240" w:lineRule="auto"/>
      </w:pPr>
      <w:r>
        <w:separator/>
      </w:r>
    </w:p>
  </w:footnote>
  <w:footnote w:type="continuationSeparator" w:id="0">
    <w:p w14:paraId="15EDDBD4" w14:textId="77777777" w:rsidR="003843F2" w:rsidRDefault="003843F2" w:rsidP="00F22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4E"/>
    <w:multiLevelType w:val="hybridMultilevel"/>
    <w:tmpl w:val="31DE60A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A0B99"/>
    <w:multiLevelType w:val="multilevel"/>
    <w:tmpl w:val="5F108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F5039"/>
    <w:multiLevelType w:val="multilevel"/>
    <w:tmpl w:val="E54C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7430766">
    <w:abstractNumId w:val="0"/>
  </w:num>
  <w:num w:numId="2" w16cid:durableId="1214653659">
    <w:abstractNumId w:val="1"/>
  </w:num>
  <w:num w:numId="3" w16cid:durableId="165441139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one Skov">
    <w15:presenceInfo w15:providerId="AD" w15:userId="S::Lone.Skov.02@regionh.dk::09f88bca-bdc5-4297-b179-49a48d4cb4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753"/>
    <w:rsid w:val="0000075C"/>
    <w:rsid w:val="00021CAA"/>
    <w:rsid w:val="00022AFD"/>
    <w:rsid w:val="00056442"/>
    <w:rsid w:val="00072B7C"/>
    <w:rsid w:val="000904CC"/>
    <w:rsid w:val="00094BD0"/>
    <w:rsid w:val="000E7549"/>
    <w:rsid w:val="000F043F"/>
    <w:rsid w:val="00105FDA"/>
    <w:rsid w:val="00132362"/>
    <w:rsid w:val="001477A4"/>
    <w:rsid w:val="001501E7"/>
    <w:rsid w:val="00183A99"/>
    <w:rsid w:val="001B20F7"/>
    <w:rsid w:val="001B583F"/>
    <w:rsid w:val="001D3615"/>
    <w:rsid w:val="001D4CBC"/>
    <w:rsid w:val="001E3B8D"/>
    <w:rsid w:val="00202EE6"/>
    <w:rsid w:val="00216958"/>
    <w:rsid w:val="00245FC5"/>
    <w:rsid w:val="00263B0E"/>
    <w:rsid w:val="002778B0"/>
    <w:rsid w:val="00277931"/>
    <w:rsid w:val="00277C9F"/>
    <w:rsid w:val="002802C5"/>
    <w:rsid w:val="002B2F46"/>
    <w:rsid w:val="002C548E"/>
    <w:rsid w:val="00312B01"/>
    <w:rsid w:val="00314BD7"/>
    <w:rsid w:val="00340DCF"/>
    <w:rsid w:val="003843F2"/>
    <w:rsid w:val="00392392"/>
    <w:rsid w:val="003B79F4"/>
    <w:rsid w:val="003C2ABF"/>
    <w:rsid w:val="004007C3"/>
    <w:rsid w:val="00420C77"/>
    <w:rsid w:val="00437846"/>
    <w:rsid w:val="00444647"/>
    <w:rsid w:val="00447427"/>
    <w:rsid w:val="0045294A"/>
    <w:rsid w:val="0047114C"/>
    <w:rsid w:val="00473919"/>
    <w:rsid w:val="004D1C72"/>
    <w:rsid w:val="00501EC1"/>
    <w:rsid w:val="005132C3"/>
    <w:rsid w:val="005266EA"/>
    <w:rsid w:val="00550F64"/>
    <w:rsid w:val="00627603"/>
    <w:rsid w:val="00645526"/>
    <w:rsid w:val="006466CE"/>
    <w:rsid w:val="00666935"/>
    <w:rsid w:val="006734D6"/>
    <w:rsid w:val="00701B67"/>
    <w:rsid w:val="00705CFE"/>
    <w:rsid w:val="0071655A"/>
    <w:rsid w:val="007550E0"/>
    <w:rsid w:val="00773905"/>
    <w:rsid w:val="00780D50"/>
    <w:rsid w:val="007906B4"/>
    <w:rsid w:val="007E1A04"/>
    <w:rsid w:val="007F06BA"/>
    <w:rsid w:val="007F07DF"/>
    <w:rsid w:val="007F213B"/>
    <w:rsid w:val="007F350B"/>
    <w:rsid w:val="008058C1"/>
    <w:rsid w:val="00841A5D"/>
    <w:rsid w:val="0086579F"/>
    <w:rsid w:val="008A0808"/>
    <w:rsid w:val="008A2DE1"/>
    <w:rsid w:val="008B1753"/>
    <w:rsid w:val="008B5D86"/>
    <w:rsid w:val="008D4575"/>
    <w:rsid w:val="008F31B4"/>
    <w:rsid w:val="009439A4"/>
    <w:rsid w:val="00964993"/>
    <w:rsid w:val="00972045"/>
    <w:rsid w:val="009734C8"/>
    <w:rsid w:val="00975CDB"/>
    <w:rsid w:val="009A4364"/>
    <w:rsid w:val="009A7088"/>
    <w:rsid w:val="009D52FB"/>
    <w:rsid w:val="00A04B0C"/>
    <w:rsid w:val="00A10F17"/>
    <w:rsid w:val="00A52D3E"/>
    <w:rsid w:val="00A755C7"/>
    <w:rsid w:val="00A94E1A"/>
    <w:rsid w:val="00AA1B63"/>
    <w:rsid w:val="00AA4EDF"/>
    <w:rsid w:val="00AA7DDB"/>
    <w:rsid w:val="00AC131A"/>
    <w:rsid w:val="00AC3D01"/>
    <w:rsid w:val="00B07FAE"/>
    <w:rsid w:val="00B74204"/>
    <w:rsid w:val="00B74D1F"/>
    <w:rsid w:val="00B750C8"/>
    <w:rsid w:val="00B77F49"/>
    <w:rsid w:val="00B84076"/>
    <w:rsid w:val="00B91CB5"/>
    <w:rsid w:val="00BB7499"/>
    <w:rsid w:val="00BC1C94"/>
    <w:rsid w:val="00BC290E"/>
    <w:rsid w:val="00BC4F0F"/>
    <w:rsid w:val="00BF0D91"/>
    <w:rsid w:val="00BF5BCB"/>
    <w:rsid w:val="00C02C05"/>
    <w:rsid w:val="00C1031B"/>
    <w:rsid w:val="00C120CC"/>
    <w:rsid w:val="00C33682"/>
    <w:rsid w:val="00CB570E"/>
    <w:rsid w:val="00CD2054"/>
    <w:rsid w:val="00CE21F6"/>
    <w:rsid w:val="00CF5DB0"/>
    <w:rsid w:val="00D45C2D"/>
    <w:rsid w:val="00D94149"/>
    <w:rsid w:val="00DC6B7B"/>
    <w:rsid w:val="00DE4000"/>
    <w:rsid w:val="00DE5C08"/>
    <w:rsid w:val="00DF722B"/>
    <w:rsid w:val="00E03DFB"/>
    <w:rsid w:val="00E76EE8"/>
    <w:rsid w:val="00E901F8"/>
    <w:rsid w:val="00EA5900"/>
    <w:rsid w:val="00EB49C0"/>
    <w:rsid w:val="00EC3CEF"/>
    <w:rsid w:val="00F03355"/>
    <w:rsid w:val="00F22741"/>
    <w:rsid w:val="00F45601"/>
    <w:rsid w:val="00F66381"/>
    <w:rsid w:val="00F70EBC"/>
    <w:rsid w:val="00F7456B"/>
    <w:rsid w:val="00F95B29"/>
    <w:rsid w:val="00FB37AD"/>
    <w:rsid w:val="00FC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86DBA"/>
  <w15:docId w15:val="{600C222D-DA25-4E38-BB1D-4F8EFF8B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8B1753"/>
    <w:rPr>
      <w:color w:val="0000FF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F5DB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CF5DB0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CF5DB0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F5DB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F5DB0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F5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F5DB0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F2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2741"/>
  </w:style>
  <w:style w:type="paragraph" w:styleId="Sidefod">
    <w:name w:val="footer"/>
    <w:basedOn w:val="Normal"/>
    <w:link w:val="SidefodTegn"/>
    <w:uiPriority w:val="99"/>
    <w:unhideWhenUsed/>
    <w:rsid w:val="00F2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2741"/>
  </w:style>
  <w:style w:type="paragraph" w:styleId="Listeafsnit">
    <w:name w:val="List Paragraph"/>
    <w:basedOn w:val="Normal"/>
    <w:uiPriority w:val="34"/>
    <w:qFormat/>
    <w:rsid w:val="00B74D1F"/>
    <w:pPr>
      <w:ind w:left="720"/>
      <w:contextualSpacing/>
    </w:pPr>
  </w:style>
  <w:style w:type="paragraph" w:styleId="Korrektur">
    <w:name w:val="Revision"/>
    <w:hidden/>
    <w:uiPriority w:val="99"/>
    <w:semiHidden/>
    <w:rsid w:val="001E3B8D"/>
    <w:pPr>
      <w:spacing w:after="0" w:line="240" w:lineRule="auto"/>
    </w:pPr>
  </w:style>
  <w:style w:type="character" w:customStyle="1" w:styleId="identifier">
    <w:name w:val="identifier"/>
    <w:basedOn w:val="Standardskrifttypeiafsnit"/>
    <w:rsid w:val="00C33682"/>
  </w:style>
  <w:style w:type="character" w:customStyle="1" w:styleId="id-label">
    <w:name w:val="id-label"/>
    <w:basedOn w:val="Standardskrifttypeiafsnit"/>
    <w:rsid w:val="00C33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1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86705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81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2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60368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5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67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51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33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D0D0D0"/>
                                                    <w:bottom w:val="single" w:sz="6" w:space="0" w:color="D0D0D0"/>
                                                    <w:right w:val="single" w:sz="6" w:space="0" w:color="D0D0D0"/>
                                                  </w:divBdr>
                                                  <w:divsChild>
                                                    <w:div w:id="110068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409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520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6103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1331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6" w:space="0" w:color="D0D0D0"/>
                                                                        <w:bottom w:val="single" w:sz="6" w:space="0" w:color="D0D0D0"/>
                                                                        <w:right w:val="single" w:sz="6" w:space="0" w:color="D0D0D0"/>
                                                                      </w:divBdr>
                                                                      <w:divsChild>
                                                                        <w:div w:id="521213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593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5227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tps.dk/sundhedsfaglig/viola-viden-og-laering/risikoomraader/risikosituationslaegemidler/lavdosis-methotrexa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Hovedstaden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 Skov</dc:creator>
  <cp:lastModifiedBy>Lone Skov</cp:lastModifiedBy>
  <cp:revision>2</cp:revision>
  <dcterms:created xsi:type="dcterms:W3CDTF">2024-11-03T20:12:00Z</dcterms:created>
  <dcterms:modified xsi:type="dcterms:W3CDTF">2024-11-03T20:12:00Z</dcterms:modified>
</cp:coreProperties>
</file>